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E8" w:rsidRPr="00BB43E8" w:rsidRDefault="00BB43E8" w:rsidP="00BB43E8">
      <w:pPr>
        <w:jc w:val="center"/>
        <w:textAlignment w:val="top"/>
        <w:rPr>
          <w:rFonts w:ascii="Georgia" w:eastAsia="Times New Roman" w:hAnsi="Georgia"/>
          <w:b/>
          <w:bCs/>
          <w:vanish/>
          <w:color w:val="EEEEEE"/>
          <w:sz w:val="48"/>
          <w:szCs w:val="48"/>
          <w:lang w:eastAsia="nl-NL"/>
        </w:rPr>
      </w:pPr>
      <w:bookmarkStart w:id="0" w:name="_GoBack"/>
      <w:r w:rsidRPr="00BB43E8">
        <w:rPr>
          <w:rFonts w:ascii="Georgia" w:eastAsia="Times New Roman" w:hAnsi="Georgia"/>
          <w:b/>
          <w:bCs/>
          <w:vanish/>
          <w:color w:val="EEEEEE"/>
          <w:sz w:val="48"/>
          <w:szCs w:val="48"/>
          <w:lang w:eastAsia="nl-NL"/>
        </w:rPr>
        <w:t>Loading...</w:t>
      </w:r>
    </w:p>
    <w:p w:rsidR="00BB43E8" w:rsidRPr="00BB43E8" w:rsidRDefault="00BB43E8" w:rsidP="00BB43E8">
      <w:pPr>
        <w:rPr>
          <w:rFonts w:ascii="Georgia" w:eastAsia="Times New Roman" w:hAnsi="Georgia"/>
          <w:vanish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vanish/>
          <w:color w:val="333333"/>
          <w:sz w:val="24"/>
          <w:szCs w:val="24"/>
          <w:lang w:eastAsia="nl-NL"/>
        </w:rPr>
        <w:t> </w:t>
      </w:r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noProof/>
          <w:color w:val="005883"/>
          <w:sz w:val="24"/>
          <w:szCs w:val="24"/>
          <w:lang w:eastAsia="nl-NL"/>
        </w:rPr>
        <w:drawing>
          <wp:inline distT="0" distB="0" distL="0" distR="0" wp14:anchorId="2483390A" wp14:editId="592FFF1C">
            <wp:extent cx="2783205" cy="1598295"/>
            <wp:effectExtent l="0" t="0" r="0" b="1905"/>
            <wp:docPr id="1" name="Afbeelding 1" descr="VZVZ-dagen 2016">
              <a:hlinkClick xmlns:a="http://schemas.openxmlformats.org/drawingml/2006/main" r:id="rId6" tooltip="&quot;VZVZ-dagen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VZ-dagen 2016">
                      <a:hlinkClick r:id="rId6" tooltip="&quot;VZVZ-dagen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B43E8" w:rsidRPr="00BB43E8" w:rsidRDefault="001B2BAB" w:rsidP="00BB43E8">
      <w:pPr>
        <w:spacing w:before="330" w:after="165"/>
        <w:outlineLvl w:val="0"/>
        <w:rPr>
          <w:rFonts w:ascii="Raleway" w:eastAsia="Times New Roman" w:hAnsi="Raleway"/>
          <w:b/>
          <w:bCs/>
          <w:color w:val="333333"/>
          <w:kern w:val="36"/>
          <w:sz w:val="62"/>
          <w:szCs w:val="62"/>
          <w:lang w:eastAsia="nl-NL"/>
        </w:rPr>
      </w:pPr>
      <w:r>
        <w:fldChar w:fldCharType="begin"/>
      </w:r>
      <w:r>
        <w:instrText xml:space="preserve"> HYPERLINK "http://www.bartje.org/wiki/" </w:instrText>
      </w:r>
      <w:r>
        <w:fldChar w:fldCharType="separate"/>
      </w:r>
      <w:r w:rsidR="00BB43E8" w:rsidRPr="00BB43E8">
        <w:rPr>
          <w:rFonts w:ascii="Raleway" w:eastAsia="Times New Roman" w:hAnsi="Raleway"/>
          <w:b/>
          <w:bCs/>
          <w:color w:val="E35F25"/>
          <w:kern w:val="36"/>
          <w:sz w:val="62"/>
          <w:szCs w:val="62"/>
          <w:lang w:eastAsia="nl-NL"/>
        </w:rPr>
        <w:t>VZVZ-dagen 2016</w:t>
      </w:r>
      <w:r>
        <w:rPr>
          <w:rFonts w:ascii="Raleway" w:eastAsia="Times New Roman" w:hAnsi="Raleway"/>
          <w:b/>
          <w:bCs/>
          <w:color w:val="E35F25"/>
          <w:kern w:val="36"/>
          <w:sz w:val="62"/>
          <w:szCs w:val="62"/>
          <w:lang w:eastAsia="nl-NL"/>
        </w:rPr>
        <w:fldChar w:fldCharType="end"/>
      </w:r>
    </w:p>
    <w:p w:rsidR="00BB43E8" w:rsidRPr="00BB43E8" w:rsidRDefault="00BB43E8" w:rsidP="00BB43E8">
      <w:pPr>
        <w:spacing w:before="330" w:after="165"/>
        <w:outlineLvl w:val="1"/>
        <w:rPr>
          <w:rFonts w:ascii="Raleway" w:eastAsia="Times New Roman" w:hAnsi="Raleway"/>
          <w:b/>
          <w:bCs/>
          <w:color w:val="333333"/>
          <w:sz w:val="51"/>
          <w:szCs w:val="51"/>
          <w:lang w:eastAsia="nl-NL"/>
        </w:rPr>
      </w:pPr>
      <w:r w:rsidRPr="00BB43E8">
        <w:rPr>
          <w:rFonts w:ascii="Raleway" w:eastAsia="Times New Roman" w:hAnsi="Raleway"/>
          <w:b/>
          <w:bCs/>
          <w:color w:val="333333"/>
          <w:sz w:val="51"/>
          <w:szCs w:val="51"/>
          <w:lang w:eastAsia="nl-NL"/>
        </w:rPr>
        <w:t>VZVZ-</w:t>
      </w:r>
      <w:proofErr w:type="spellStart"/>
      <w:r w:rsidRPr="00BB43E8">
        <w:rPr>
          <w:rFonts w:ascii="Raleway" w:eastAsia="Times New Roman" w:hAnsi="Raleway"/>
          <w:b/>
          <w:bCs/>
          <w:color w:val="333333"/>
          <w:sz w:val="51"/>
          <w:szCs w:val="51"/>
          <w:lang w:eastAsia="nl-NL"/>
        </w:rPr>
        <w:t>leveranciersdag</w:t>
      </w:r>
      <w:proofErr w:type="spellEnd"/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</w:t>
      </w:r>
    </w:p>
    <w:p w:rsidR="00BB43E8" w:rsidRPr="00BB43E8" w:rsidRDefault="00BB43E8" w:rsidP="00BB43E8">
      <w:pPr>
        <w:pBdr>
          <w:bottom w:val="single" w:sz="6" w:space="1" w:color="auto"/>
        </w:pBdr>
        <w:jc w:val="center"/>
        <w:rPr>
          <w:rFonts w:eastAsia="Times New Roman"/>
          <w:vanish/>
          <w:sz w:val="16"/>
          <w:szCs w:val="16"/>
          <w:lang w:eastAsia="nl-NL"/>
        </w:rPr>
      </w:pPr>
      <w:r w:rsidRPr="00BB43E8">
        <w:rPr>
          <w:rFonts w:eastAsia="Times New Roman"/>
          <w:vanish/>
          <w:sz w:val="16"/>
          <w:szCs w:val="16"/>
          <w:lang w:eastAsia="nl-NL"/>
        </w:rPr>
        <w:t>Bovenkant formulier</w:t>
      </w:r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Gebruikernaam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: </w:t>
      </w:r>
      <w:r w:rsidRPr="00BB43E8">
        <w:rPr>
          <w:rFonts w:ascii="Georgia" w:eastAsia="Times New Roman" w:hAnsi="Georgia"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3.2pt;height:18.15pt" o:ole="">
            <v:imagedata r:id="rId8" o:title=""/>
          </v:shape>
          <w:control r:id="rId9" w:name="DefaultOcxName" w:shapeid="_x0000_i1035"/>
        </w:object>
      </w:r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Wachtwoord: </w:t>
      </w:r>
      <w:r w:rsidRPr="00BB43E8">
        <w:rPr>
          <w:rFonts w:ascii="Georgia" w:eastAsia="Times New Roman" w:hAnsi="Georgia"/>
          <w:color w:val="333333"/>
          <w:sz w:val="24"/>
          <w:szCs w:val="24"/>
        </w:rPr>
        <w:object w:dxaOrig="1440" w:dyaOrig="1440">
          <v:shape id="_x0000_i1039" type="#_x0000_t75" style="width:53.2pt;height:18.15pt" o:ole="">
            <v:imagedata r:id="rId10" o:title=""/>
          </v:shape>
          <w:control r:id="rId11" w:name="DefaultOcxName1" w:shapeid="_x0000_i1039"/>
        </w:object>
      </w:r>
    </w:p>
    <w:p w:rsidR="00BB43E8" w:rsidRPr="00BB43E8" w:rsidRDefault="00BB43E8" w:rsidP="00BB43E8">
      <w:pPr>
        <w:rPr>
          <w:rFonts w:ascii="Georgia" w:eastAsia="Times New Roman" w:hAnsi="Georgia"/>
          <w:vanish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vanish/>
          <w:color w:val="333333"/>
          <w:sz w:val="24"/>
          <w:szCs w:val="24"/>
          <w:lang w:eastAsia="nl-NL"/>
        </w:rPr>
        <w:t xml:space="preserve">CapsLock is on. </w:t>
      </w:r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</w:t>
      </w:r>
    </w:p>
    <w:p w:rsidR="00BB43E8" w:rsidRPr="00BB43E8" w:rsidRDefault="001B2BAB" w:rsidP="00BB43E8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hyperlink r:id="rId12" w:tooltip="Klik hier indien u uw wachtwoord bent vergeten" w:history="1">
        <w:r w:rsidR="00BB43E8"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Ik ben mijn wachtwoord vergeten</w:t>
        </w:r>
      </w:hyperlink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</w:rPr>
        <w:object w:dxaOrig="1440" w:dyaOrig="1440">
          <v:shape id="_x0000_i1042" type="#_x0000_t75" style="width:1in;height:18.15pt" o:ole="">
            <v:imagedata r:id="rId13" o:title=""/>
          </v:shape>
          <w:control r:id="rId14" w:name="DefaultOcxName2" w:shapeid="_x0000_i1042"/>
        </w:object>
      </w:r>
      <w:r w:rsidRPr="00BB43E8">
        <w:rPr>
          <w:rFonts w:ascii="Georgia" w:eastAsia="Times New Roman" w:hAnsi="Georgia"/>
          <w:color w:val="333333"/>
          <w:sz w:val="24"/>
          <w:szCs w:val="24"/>
        </w:rPr>
        <w:object w:dxaOrig="1440" w:dyaOrig="1440">
          <v:shape id="_x0000_i1045" type="#_x0000_t75" style="width:1in;height:18.15pt" o:ole="">
            <v:imagedata r:id="rId15" o:title=""/>
          </v:shape>
          <w:control r:id="rId16" w:name="DefaultOcxName3" w:shapeid="_x0000_i1045"/>
        </w:object>
      </w:r>
    </w:p>
    <w:p w:rsidR="00BB43E8" w:rsidRPr="00BB43E8" w:rsidRDefault="00BB43E8" w:rsidP="00BB43E8">
      <w:pPr>
        <w:pBdr>
          <w:top w:val="single" w:sz="6" w:space="1" w:color="auto"/>
        </w:pBdr>
        <w:jc w:val="center"/>
        <w:rPr>
          <w:rFonts w:eastAsia="Times New Roman"/>
          <w:vanish/>
          <w:sz w:val="16"/>
          <w:szCs w:val="16"/>
          <w:lang w:eastAsia="nl-NL"/>
        </w:rPr>
      </w:pPr>
      <w:r w:rsidRPr="00BB43E8">
        <w:rPr>
          <w:rFonts w:eastAsia="Times New Roman"/>
          <w:vanish/>
          <w:sz w:val="16"/>
          <w:szCs w:val="16"/>
          <w:lang w:eastAsia="nl-NL"/>
        </w:rPr>
        <w:t>Onderkant formulier</w:t>
      </w:r>
    </w:p>
    <w:p w:rsidR="00BB43E8" w:rsidRPr="00BB43E8" w:rsidRDefault="001B2BAB" w:rsidP="00BB43E8">
      <w:pPr>
        <w:spacing w:before="330" w:after="165"/>
        <w:outlineLvl w:val="0"/>
        <w:rPr>
          <w:rFonts w:ascii="Raleway" w:eastAsia="Times New Roman" w:hAnsi="Raleway"/>
          <w:b/>
          <w:bCs/>
          <w:color w:val="333333"/>
          <w:kern w:val="36"/>
          <w:sz w:val="62"/>
          <w:szCs w:val="62"/>
          <w:lang w:eastAsia="nl-NL"/>
        </w:rPr>
      </w:pPr>
      <w:hyperlink r:id="rId17" w:tooltip="verversen" w:history="1">
        <w:r w:rsidR="00BB43E8" w:rsidRPr="00BB43E8">
          <w:rPr>
            <w:rFonts w:ascii="Raleway" w:eastAsia="Times New Roman" w:hAnsi="Raleway"/>
            <w:b/>
            <w:bCs/>
            <w:color w:val="005883"/>
            <w:kern w:val="36"/>
            <w:sz w:val="62"/>
            <w:szCs w:val="62"/>
            <w:lang w:eastAsia="nl-NL"/>
          </w:rPr>
          <w:t>Aanmelden - Bronsysteem</w:t>
        </w:r>
      </w:hyperlink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kan op Bouwsteen-, Zorgtoepassing-, Dossierniveau </w:t>
      </w:r>
    </w:p>
    <w:p w:rsidR="00BB43E8" w:rsidRPr="00BB43E8" w:rsidRDefault="00BB43E8" w:rsidP="00BB43E8">
      <w:pPr>
        <w:numPr>
          <w:ilvl w:val="0"/>
          <w:numId w:val="2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Een hogere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granulariteit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=&gt; Meer informatie om iets mee te (moeten) doen </w:t>
      </w:r>
    </w:p>
    <w:p w:rsidR="00BB43E8" w:rsidRPr="00BB43E8" w:rsidRDefault="00BB43E8" w:rsidP="00BB43E8">
      <w:pPr>
        <w:numPr>
          <w:ilvl w:val="0"/>
          <w:numId w:val="2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Het gaat om de </w:t>
      </w:r>
      <w:r w:rsidRPr="00BB43E8">
        <w:rPr>
          <w:rFonts w:ascii="Georgia" w:eastAsia="Times New Roman" w:hAnsi="Georgia"/>
          <w:b/>
          <w:bCs/>
          <w:color w:val="333333"/>
          <w:sz w:val="24"/>
          <w:szCs w:val="24"/>
          <w:lang w:eastAsia="nl-NL"/>
        </w:rPr>
        <w:t>neven effecten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: </w:t>
      </w:r>
    </w:p>
    <w:p w:rsidR="00BB43E8" w:rsidRPr="00BB43E8" w:rsidRDefault="00BB43E8" w:rsidP="00BB43E8">
      <w:pPr>
        <w:numPr>
          <w:ilvl w:val="1"/>
          <w:numId w:val="2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VWI Sync, hoeveelheid berichten, Actualiteitsgarantie (timestamp)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Opties en gevolgen voor het aanmelden: </w:t>
      </w:r>
    </w:p>
    <w:p w:rsidR="00BB43E8" w:rsidRPr="00BB43E8" w:rsidRDefault="00BB43E8" w:rsidP="00BB43E8">
      <w:pPr>
        <w:numPr>
          <w:ilvl w:val="0"/>
          <w:numId w:val="3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op dossierniveau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1 aanmelding per patiënt per applicatie, onafhankelijk van de zorgtoepassing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VWI-sync is vrij simpel; indien er een toestemming is mag er aangemeld worden </w:t>
      </w:r>
    </w:p>
    <w:p w:rsidR="00BB43E8" w:rsidRPr="00BB43E8" w:rsidRDefault="00BB43E8" w:rsidP="00BB43E8">
      <w:pPr>
        <w:numPr>
          <w:ilvl w:val="0"/>
          <w:numId w:val="3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op bouwsteenniveau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Beschikbare bouwstenen in het dossier worden apart aangemeld; onafhankelijk van de zorgtoepassing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Alleen de betreffende bouwsteen-verwijzingen worden geactualiseerd in de VWI bij een update van het dossier.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lastRenderedPageBreak/>
        <w:t xml:space="preserve">VWI-sync wordt lastiger (omdat op bouwsteen niveau de laatste datum moet worden aangegeven), maar niet onoverzichtelijk </w:t>
      </w:r>
    </w:p>
    <w:p w:rsidR="00BB43E8" w:rsidRPr="00BB43E8" w:rsidRDefault="00BB43E8" w:rsidP="00BB43E8">
      <w:pPr>
        <w:numPr>
          <w:ilvl w:val="0"/>
          <w:numId w:val="3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op zorgtoepassing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Het dossier wordt per zorgtoepassing aangemeld; gekoppeld aan de toestemming.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Complex om te bepalen welke zorgtoepassing-verwijzing bijgewerkt moet worden bij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heraanmelden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; meerdere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heraanmeldingen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per wijziging brondossier.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VWI-sync wordt meer een toestemmingssynchronisatie. Actualiteit wordt lastig te bepalen. </w:t>
      </w:r>
    </w:p>
    <w:p w:rsidR="00BB43E8" w:rsidRPr="00BB43E8" w:rsidRDefault="00BB43E8" w:rsidP="00BB43E8">
      <w:pPr>
        <w:numPr>
          <w:ilvl w:val="1"/>
          <w:numId w:val="3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Nieuwe zorgtoepassingen ook altijd bij de bron doorvoeren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sym w:font="Symbol" w:char="F0E0"/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bouwstenenconcept verliest waarde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Voor de Routering op de VWI gelden de volgende vragen </w:t>
      </w:r>
    </w:p>
    <w:p w:rsidR="00BB43E8" w:rsidRPr="00BB43E8" w:rsidRDefault="00BB43E8" w:rsidP="00BB43E8">
      <w:pPr>
        <w:numPr>
          <w:ilvl w:val="0"/>
          <w:numId w:val="4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op dossierniveau </w:t>
      </w:r>
    </w:p>
    <w:p w:rsidR="00BB43E8" w:rsidRPr="00BB43E8" w:rsidRDefault="00BB43E8" w:rsidP="00BB43E8">
      <w:pPr>
        <w:numPr>
          <w:ilvl w:val="1"/>
          <w:numId w:val="4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Meer onnodige (bouwsteen)bevragingen, omdat niet elke bouwsteen bij elke vraag (context) zal worden opgevraagd en niet alle bouwstenen aanwezig zullen zijn. </w:t>
      </w:r>
    </w:p>
    <w:p w:rsidR="00BB43E8" w:rsidRPr="00BB43E8" w:rsidRDefault="00BB43E8" w:rsidP="00BB43E8">
      <w:pPr>
        <w:numPr>
          <w:ilvl w:val="1"/>
          <w:numId w:val="4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In het APR staat welke bouwstenen potentieel opgeleverd kunnen worden </w:t>
      </w:r>
    </w:p>
    <w:p w:rsidR="00BB43E8" w:rsidRPr="00BB43E8" w:rsidRDefault="00BB43E8" w:rsidP="00BB43E8">
      <w:pPr>
        <w:numPr>
          <w:ilvl w:val="0"/>
          <w:numId w:val="4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op bouwsteenniveau </w:t>
      </w:r>
    </w:p>
    <w:p w:rsidR="00BB43E8" w:rsidRPr="00BB43E8" w:rsidRDefault="00BB43E8" w:rsidP="00BB43E8">
      <w:pPr>
        <w:numPr>
          <w:ilvl w:val="1"/>
          <w:numId w:val="4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Bouwsteenverwijzingen geven mogelijk meer inzicht in gezondheid patiënt; maar huidige verwijzingen zijn eigenlijk ook al medische gegevens </w:t>
      </w:r>
    </w:p>
    <w:p w:rsidR="00BB43E8" w:rsidRPr="00BB43E8" w:rsidRDefault="00BB43E8" w:rsidP="00BB43E8">
      <w:pPr>
        <w:numPr>
          <w:ilvl w:val="0"/>
          <w:numId w:val="4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op zorgtoepassing </w:t>
      </w:r>
    </w:p>
    <w:p w:rsidR="00BB43E8" w:rsidRPr="00BB43E8" w:rsidRDefault="00BB43E8" w:rsidP="00BB43E8">
      <w:pPr>
        <w:numPr>
          <w:ilvl w:val="1"/>
          <w:numId w:val="4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Vrijwel geen onnodige bevragingen. Contextcode is 1:1 te koppelen aan de zorgtoepassing. </w:t>
      </w:r>
    </w:p>
    <w:p w:rsidR="00BB43E8" w:rsidRPr="00BB43E8" w:rsidRDefault="00BB43E8" w:rsidP="00BB43E8">
      <w:pPr>
        <w:numPr>
          <w:ilvl w:val="1"/>
          <w:numId w:val="4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Zorgtoepassingen geven mogelijk meer inzicht in gezondheid patiënt. Huidige verwijzingen zijn ook al als medische gegevens geclassificeerd </w:t>
      </w:r>
    </w:p>
    <w:p w:rsidR="00BB43E8" w:rsidRPr="00BB43E8" w:rsidRDefault="00BB43E8" w:rsidP="00BB43E8">
      <w:pPr>
        <w:spacing w:before="330" w:after="165"/>
        <w:outlineLvl w:val="1"/>
        <w:rPr>
          <w:rFonts w:ascii="Raleway" w:eastAsia="Times New Roman" w:hAnsi="Raleway"/>
          <w:b/>
          <w:bCs/>
          <w:color w:val="333333"/>
          <w:sz w:val="51"/>
          <w:szCs w:val="51"/>
          <w:lang w:eastAsia="nl-NL"/>
        </w:rPr>
      </w:pPr>
      <w:r w:rsidRPr="00BB43E8">
        <w:rPr>
          <w:rFonts w:ascii="Raleway" w:eastAsia="Times New Roman" w:hAnsi="Raleway"/>
          <w:b/>
          <w:bCs/>
          <w:color w:val="333333"/>
          <w:sz w:val="51"/>
          <w:szCs w:val="51"/>
          <w:lang w:eastAsia="nl-NL"/>
        </w:rPr>
        <w:t>Discussie ronde 1 - Sessie (vergaderzaal)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Aanmelden van bouwstenen </w:t>
      </w:r>
    </w:p>
    <w:p w:rsidR="00BB43E8" w:rsidRPr="00BB43E8" w:rsidRDefault="00BB43E8" w:rsidP="00BB43E8">
      <w:pPr>
        <w:spacing w:before="330" w:after="165"/>
        <w:outlineLvl w:val="2"/>
        <w:rPr>
          <w:rFonts w:ascii="Raleway" w:eastAsia="Times New Roman" w:hAnsi="Raleway"/>
          <w:b/>
          <w:bCs/>
          <w:color w:val="333333"/>
          <w:sz w:val="42"/>
          <w:szCs w:val="42"/>
          <w:lang w:eastAsia="nl-NL"/>
        </w:rPr>
      </w:pPr>
      <w:r w:rsidRPr="00BB43E8">
        <w:rPr>
          <w:rFonts w:ascii="Raleway" w:eastAsia="Times New Roman" w:hAnsi="Raleway"/>
          <w:b/>
          <w:bCs/>
          <w:color w:val="333333"/>
          <w:sz w:val="42"/>
          <w:szCs w:val="42"/>
          <w:lang w:eastAsia="nl-NL"/>
        </w:rPr>
        <w:t>Vragen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Bouwstenen en het LSP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LSP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gaat bouwsteengericht gegevens uitwisselen.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Bouwstenen stoppen in dragers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Gevolgen voor het mechanisme van het LSP?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Aanmelden bij de VWI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Op welk niveau aanmelden?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Waarom een VWI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Om te zorgen dat je zo min mogelijk nodeloze vragen stelt. Je moet compleet zijn maar niet overbodig.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Vb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labresultaten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opvragen stel je alleen aan het lab dat gegevens heeft van de patiënt, niet aan de andere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lab’s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lastRenderedPageBreak/>
        <w:t xml:space="preserve">Met de introductie van bouwstenen is dat je aanmeldingen op bouwsteenniveau moet doen: je geeft aan ik heb deze informatie over deze patiënt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Eerste implementatie: weten waar van wie informatie te halen is, is genoeg, niet nodig om aan te melden op de soort informatie. Dus alleen aangeven, ik heb gegevens.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VWI is eigenlijk een soort toestemmingsregister geworden, alleen aanmelden als patiënt een opt-in heeft gegeven. Het instrument heeft twee functies gekregen.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HIS – bouwstenen van huisartsdossier aanmelden = aanmelden dat voor een patiënt gegevens zijn. Als er een nieuw gegeven bij komt, een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heraanmelding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doen.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Dan gaat de signaalfunctie mis.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XIS kan abonneren op signaalfunctie dat er een seintje komt als er een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heraanmelding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wordt gedaan.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Kijken naar 2 aspecten: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• Technisch aspect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• Organisatorisch aspect (juridisch en politiek) – LSP mag geen schaduwdossier vastleggen, VWI moet zo dun mogelijk zijn.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VWI hoeft alleen maar te weten wie iets weet over een patiënt, maar dan met signaalfunctie een probleem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Vb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apothekers willen maar een klein stukje van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labresultaten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. Bij elk nieuw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labresultaat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krijgt apotheek elke keer een signaal maar 9 van de 10 keer is dat niet interessant voor de apotheek.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Vb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ZH is breder, ZH doet een aanmelding, elke keer als patiënt komt nieuwe gegevens. Willen andere zorgaanbieders altijd weten dat er iets verandert is?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Huisartsdossier, integratie van gegevens, zou je 4 aanmeldingen moeten doen bij 1 wijziging.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Hoeveel blijft er over van het onderscheid van aanmelden op gegevenssoort?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Misschien abonneren op bepaalde bronnen (HA, ZH, lab)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Abonneren niet koppelen aan aanmelding?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Gegevenssoort voor een specialisme heeft meerdere bouwstenen. Aanmelden op gegevenssoort. Gegevenssoort ligt op niveau van specialisme dossier.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Veel zorg is specialisme overkoepelend.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Je wil zeggen ik ben systeem X en ik weet iets over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patient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Y, niet elk systeem is gekwalificeerd voor de gegevens uit systeem X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Conclusie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Wens: Generieke aanmelding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Abonneren op bouwstenen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Heraanmelden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, met daarin aangeven welke bouwstenen geraakt zijn in de wijziging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Signaleren op specifieke bouwsteentypen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Kan niet!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Punt voor verdere discussie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Centraal toestemmingsregister? Rol hierbij? Kan je dan je verwijsindex toestemmingsonafhankelijk maken. Wat is het verschil tussen een toestemmingsregister en de VWI?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Idee lang geleden: Behandelrelatieregister = aan de kant van de zorgverlener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2 vragen: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Mag ik gegevens delen (aanmelden)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Mag ik gegevens opvragen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Als je bij de bron toestemming hebt gegeven dan mag een zorgverlener die geautoriseerd is en een behandelrelatie heeft deze ze opvragen.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lastRenderedPageBreak/>
        <w:t xml:space="preserve">Wie weet er iets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Wie ondersteunt de interactie om op te vragen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Wie mag de gegevens opvragen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Mag iemand in deze situatie de vraag beantwoord krijgen.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 welke zorgverlener heeft de patiënt toestemming gegeven informatie te delen. Dan is de VWI overbodig maar dan wordt het toestemmingsregister de VWI.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Kan je het toestemmingsregister naar een applicatie toeschrijven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Heb je het ZAB voor nodig </w:t>
      </w:r>
    </w:p>
    <w:p w:rsidR="00BB43E8" w:rsidRPr="00BB43E8" w:rsidRDefault="00BB43E8" w:rsidP="00BB43E8">
      <w:pPr>
        <w:spacing w:after="16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Niet gekeken naar IHE hoe dit met de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registry</w:t>
      </w:r>
      <w:proofErr w:type="spellEnd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 functioneert.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Dat is een hele dikke verwijsindex.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Je zegt ik heb een document van een patiënt </w:t>
      </w: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br/>
        <w:t xml:space="preserve">VZVZ heeft de ambitie om communicatie voor XDS te faciliteren </w:t>
      </w:r>
    </w:p>
    <w:p w:rsidR="00BB43E8" w:rsidRPr="00BB43E8" w:rsidRDefault="00BB43E8" w:rsidP="00BB43E8">
      <w:pPr>
        <w:numPr>
          <w:ilvl w:val="0"/>
          <w:numId w:val="5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Vraag1 </w:t>
      </w:r>
    </w:p>
    <w:p w:rsidR="00BB43E8" w:rsidRPr="00BB43E8" w:rsidRDefault="00BB43E8" w:rsidP="00BB43E8">
      <w:pPr>
        <w:numPr>
          <w:ilvl w:val="0"/>
          <w:numId w:val="5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Vraag2 </w:t>
      </w:r>
    </w:p>
    <w:p w:rsidR="00BB43E8" w:rsidRPr="00BB43E8" w:rsidRDefault="00BB43E8" w:rsidP="00BB43E8">
      <w:pPr>
        <w:numPr>
          <w:ilvl w:val="0"/>
          <w:numId w:val="5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Vraag3 </w:t>
      </w:r>
    </w:p>
    <w:p w:rsidR="00BB43E8" w:rsidRPr="00BB43E8" w:rsidRDefault="00BB43E8" w:rsidP="00BB43E8">
      <w:pPr>
        <w:spacing w:before="330" w:after="165"/>
        <w:outlineLvl w:val="2"/>
        <w:rPr>
          <w:rFonts w:ascii="Raleway" w:eastAsia="Times New Roman" w:hAnsi="Raleway"/>
          <w:b/>
          <w:bCs/>
          <w:color w:val="333333"/>
          <w:sz w:val="42"/>
          <w:szCs w:val="42"/>
          <w:lang w:eastAsia="nl-NL"/>
        </w:rPr>
      </w:pPr>
      <w:r w:rsidRPr="00BB43E8">
        <w:rPr>
          <w:rFonts w:ascii="Raleway" w:eastAsia="Times New Roman" w:hAnsi="Raleway"/>
          <w:b/>
          <w:bCs/>
          <w:color w:val="333333"/>
          <w:sz w:val="42"/>
          <w:szCs w:val="42"/>
          <w:lang w:eastAsia="nl-NL"/>
        </w:rPr>
        <w:t>Conclusies</w:t>
      </w:r>
    </w:p>
    <w:p w:rsidR="00BB43E8" w:rsidRPr="00BB43E8" w:rsidRDefault="00BB43E8" w:rsidP="00BB43E8">
      <w:pPr>
        <w:numPr>
          <w:ilvl w:val="0"/>
          <w:numId w:val="6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Conclusie1 </w:t>
      </w:r>
    </w:p>
    <w:p w:rsidR="00BB43E8" w:rsidRPr="00BB43E8" w:rsidRDefault="00BB43E8" w:rsidP="00BB43E8">
      <w:pPr>
        <w:numPr>
          <w:ilvl w:val="0"/>
          <w:numId w:val="6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Conclusie2 </w:t>
      </w:r>
    </w:p>
    <w:p w:rsidR="00BB43E8" w:rsidRPr="00BB43E8" w:rsidRDefault="00BB43E8" w:rsidP="00BB43E8">
      <w:pPr>
        <w:numPr>
          <w:ilvl w:val="0"/>
          <w:numId w:val="6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Conclusie3 </w:t>
      </w:r>
    </w:p>
    <w:p w:rsidR="00BB43E8" w:rsidRPr="00BB43E8" w:rsidRDefault="00BB43E8" w:rsidP="00BB43E8">
      <w:pPr>
        <w:spacing w:before="330" w:after="165"/>
        <w:outlineLvl w:val="2"/>
        <w:rPr>
          <w:rFonts w:ascii="Raleway" w:eastAsia="Times New Roman" w:hAnsi="Raleway"/>
          <w:b/>
          <w:bCs/>
          <w:color w:val="333333"/>
          <w:sz w:val="42"/>
          <w:szCs w:val="42"/>
          <w:lang w:eastAsia="nl-NL"/>
        </w:rPr>
      </w:pPr>
      <w:r w:rsidRPr="00BB43E8">
        <w:rPr>
          <w:rFonts w:ascii="Raleway" w:eastAsia="Times New Roman" w:hAnsi="Raleway"/>
          <w:b/>
          <w:bCs/>
          <w:color w:val="333333"/>
          <w:sz w:val="42"/>
          <w:szCs w:val="42"/>
          <w:lang w:eastAsia="nl-NL"/>
        </w:rPr>
        <w:t>Argumenten</w:t>
      </w:r>
    </w:p>
    <w:p w:rsidR="00BB43E8" w:rsidRPr="00BB43E8" w:rsidRDefault="00BB43E8" w:rsidP="00BB43E8">
      <w:pPr>
        <w:numPr>
          <w:ilvl w:val="0"/>
          <w:numId w:val="7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Argument1 </w:t>
      </w:r>
    </w:p>
    <w:p w:rsidR="00BB43E8" w:rsidRPr="00BB43E8" w:rsidRDefault="00BB43E8" w:rsidP="00BB43E8">
      <w:pPr>
        <w:numPr>
          <w:ilvl w:val="0"/>
          <w:numId w:val="7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Argument2 </w:t>
      </w:r>
    </w:p>
    <w:p w:rsidR="00BB43E8" w:rsidRPr="00BB43E8" w:rsidRDefault="001B2BAB" w:rsidP="00BB43E8">
      <w:pPr>
        <w:numPr>
          <w:ilvl w:val="0"/>
          <w:numId w:val="8"/>
        </w:numPr>
        <w:spacing w:before="100" w:beforeAutospacing="1" w:after="100" w:afterAutospacing="1"/>
        <w:ind w:left="49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hyperlink r:id="rId18" w:anchor="Aanmelden___Bronsysteem" w:history="1">
        <w:r w:rsidR="00BB43E8"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Aanmelden - Bronsysteem</w:t>
        </w:r>
      </w:hyperlink>
    </w:p>
    <w:p w:rsidR="00BB43E8" w:rsidRPr="00BB43E8" w:rsidRDefault="001B2BAB" w:rsidP="00BB43E8">
      <w:pPr>
        <w:numPr>
          <w:ilvl w:val="1"/>
          <w:numId w:val="8"/>
        </w:numPr>
        <w:spacing w:before="100" w:beforeAutospacing="1" w:after="100" w:afterAutospacing="1"/>
        <w:ind w:left="121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hyperlink r:id="rId19" w:anchor="Discussie_ronde_1_-_Sessie_vergaderzaal_" w:history="1">
        <w:r w:rsidR="00BB43E8"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Discussie ronde 1 - Sessie (vergaderzaal)</w:t>
        </w:r>
      </w:hyperlink>
    </w:p>
    <w:p w:rsidR="00BB43E8" w:rsidRPr="00BB43E8" w:rsidRDefault="001B2BAB" w:rsidP="00BB43E8">
      <w:pPr>
        <w:numPr>
          <w:ilvl w:val="2"/>
          <w:numId w:val="8"/>
        </w:numPr>
        <w:spacing w:before="100" w:beforeAutospacing="1" w:after="100" w:afterAutospacing="1"/>
        <w:ind w:left="193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hyperlink r:id="rId20" w:anchor="Vragen" w:history="1">
        <w:r w:rsidR="00BB43E8"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Vragen</w:t>
        </w:r>
      </w:hyperlink>
    </w:p>
    <w:p w:rsidR="00BB43E8" w:rsidRPr="00BB43E8" w:rsidRDefault="001B2BAB" w:rsidP="00BB43E8">
      <w:pPr>
        <w:numPr>
          <w:ilvl w:val="2"/>
          <w:numId w:val="8"/>
        </w:numPr>
        <w:spacing w:before="100" w:beforeAutospacing="1" w:after="100" w:afterAutospacing="1"/>
        <w:ind w:left="193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hyperlink r:id="rId21" w:anchor="Conclusies" w:history="1">
        <w:r w:rsidR="00BB43E8"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Conclusies</w:t>
        </w:r>
      </w:hyperlink>
    </w:p>
    <w:p w:rsidR="00BB43E8" w:rsidRPr="00BB43E8" w:rsidRDefault="001B2BAB" w:rsidP="00BB43E8">
      <w:pPr>
        <w:numPr>
          <w:ilvl w:val="2"/>
          <w:numId w:val="8"/>
        </w:numPr>
        <w:spacing w:before="100" w:beforeAutospacing="1" w:after="100" w:afterAutospacing="1"/>
        <w:ind w:left="1935"/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hyperlink r:id="rId22" w:anchor="Argumenten" w:history="1">
        <w:r w:rsidR="00BB43E8"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Argumenten</w:t>
        </w:r>
      </w:hyperlink>
    </w:p>
    <w:p w:rsidR="00BB43E8" w:rsidRPr="00BB43E8" w:rsidRDefault="00BB43E8" w:rsidP="00BB43E8">
      <w:pPr>
        <w:rPr>
          <w:rFonts w:ascii="Georgia" w:eastAsia="Times New Roman" w:hAnsi="Georgia"/>
          <w:color w:val="333333"/>
          <w:sz w:val="24"/>
          <w:szCs w:val="24"/>
          <w:lang w:eastAsia="nl-NL"/>
        </w:rPr>
      </w:pPr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Aangedreven door </w:t>
      </w:r>
      <w:hyperlink r:id="rId23" w:tooltip="© 2002–2017 The Tiki Community" w:history="1">
        <w:proofErr w:type="spellStart"/>
        <w:r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Tiki</w:t>
        </w:r>
        <w:proofErr w:type="spellEnd"/>
        <w:r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 xml:space="preserve"> Wiki CMS </w:t>
        </w:r>
        <w:proofErr w:type="spellStart"/>
        <w:r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>Groupware</w:t>
        </w:r>
        <w:proofErr w:type="spellEnd"/>
        <w:r w:rsidRPr="00BB43E8">
          <w:rPr>
            <w:rFonts w:ascii="Georgia" w:eastAsia="Times New Roman" w:hAnsi="Georgia"/>
            <w:color w:val="005883"/>
            <w:sz w:val="24"/>
            <w:szCs w:val="24"/>
            <w:lang w:eastAsia="nl-NL"/>
          </w:rPr>
          <w:t xml:space="preserve"> </w:t>
        </w:r>
      </w:hyperlink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 xml:space="preserve"> | Thema: </w:t>
      </w:r>
      <w:proofErr w:type="spellStart"/>
      <w:r w:rsidRPr="00BB43E8">
        <w:rPr>
          <w:rFonts w:ascii="Georgia" w:eastAsia="Times New Roman" w:hAnsi="Georgia"/>
          <w:color w:val="333333"/>
          <w:sz w:val="24"/>
          <w:szCs w:val="24"/>
          <w:lang w:eastAsia="nl-NL"/>
        </w:rPr>
        <w:t>Readable</w:t>
      </w:r>
      <w:proofErr w:type="spellEnd"/>
    </w:p>
    <w:p w:rsidR="00A37416" w:rsidRDefault="00A37416" w:rsidP="00BB43E8"/>
    <w:sectPr w:rsidR="00A3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ECD"/>
    <w:multiLevelType w:val="multilevel"/>
    <w:tmpl w:val="379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D5B2A"/>
    <w:multiLevelType w:val="multilevel"/>
    <w:tmpl w:val="698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C1877"/>
    <w:multiLevelType w:val="multilevel"/>
    <w:tmpl w:val="AB34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C4D56"/>
    <w:multiLevelType w:val="multilevel"/>
    <w:tmpl w:val="2BD8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A2CB4"/>
    <w:multiLevelType w:val="multilevel"/>
    <w:tmpl w:val="518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51AA9"/>
    <w:multiLevelType w:val="multilevel"/>
    <w:tmpl w:val="D8AA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DB5934"/>
    <w:multiLevelType w:val="multilevel"/>
    <w:tmpl w:val="E78C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83D46"/>
    <w:multiLevelType w:val="multilevel"/>
    <w:tmpl w:val="D13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E8"/>
    <w:rsid w:val="001B2BAB"/>
    <w:rsid w:val="00312A70"/>
    <w:rsid w:val="00A37416"/>
    <w:rsid w:val="00BB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A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43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4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A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43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4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0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7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8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5527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33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6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hyperlink" Target="http://www.bartje.org/wiki/tiki-index.php?page=Aanmelden+-+Bronsystee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artje.org/wiki/tiki-index.php?page=Aanmelden+-+Bronsystee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bartje.org/wiki/tiki-remind_password.php" TargetMode="External"/><Relationship Id="rId17" Type="http://schemas.openxmlformats.org/officeDocument/2006/relationships/hyperlink" Target="http://www.bartje.org/wiki/tiki-index.php?page=Aanmelden+-+Bronsystee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hyperlink" Target="http://www.bartje.org/wiki/tiki-index.php?page=Aanmelden+-+Bronsyste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rtje.org/wiki/" TargetMode="Externa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tiki.org/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bartje.org/wiki/tiki-index.php?page=Aanmelden+-+Bronsysteem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hyperlink" Target="http://www.bartje.org/wiki/tiki-index.php?page=Aanmelden+-+Bronsystee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W.J. Jongejan</dc:creator>
  <cp:lastModifiedBy>W.J. Jongejan</cp:lastModifiedBy>
  <cp:revision>2</cp:revision>
  <dcterms:created xsi:type="dcterms:W3CDTF">2017-05-27T11:05:00Z</dcterms:created>
  <dcterms:modified xsi:type="dcterms:W3CDTF">2017-05-27T11:05:00Z</dcterms:modified>
</cp:coreProperties>
</file>