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C97915" w:rsidTr="00C97915">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97915">
              <w:trPr>
                <w:tblCellSpacing w:w="0" w:type="dxa"/>
              </w:trPr>
              <w:tc>
                <w:tcPr>
                  <w:tcW w:w="0" w:type="auto"/>
                </w:tcPr>
                <w:tbl>
                  <w:tblPr>
                    <w:tblpPr w:leftFromText="45" w:rightFromText="45" w:vertAnchor="text"/>
                    <w:tblW w:w="6000" w:type="dxa"/>
                    <w:tblCellSpacing w:w="0" w:type="dxa"/>
                    <w:tblCellMar>
                      <w:left w:w="0" w:type="dxa"/>
                      <w:right w:w="0" w:type="dxa"/>
                    </w:tblCellMar>
                    <w:tblLook w:val="04A0" w:firstRow="1" w:lastRow="0" w:firstColumn="1" w:lastColumn="0" w:noHBand="0" w:noVBand="1"/>
                  </w:tblPr>
                  <w:tblGrid>
                    <w:gridCol w:w="6000"/>
                  </w:tblGrid>
                  <w:tr w:rsidR="00C97915">
                    <w:trPr>
                      <w:trHeight w:val="1800"/>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25"/>
                          <w:gridCol w:w="5175"/>
                          <w:gridCol w:w="300"/>
                        </w:tblGrid>
                        <w:tr w:rsidR="00C97915">
                          <w:trPr>
                            <w:tblCellSpacing w:w="0" w:type="dxa"/>
                          </w:trPr>
                          <w:tc>
                            <w:tcPr>
                              <w:tcW w:w="525" w:type="dxa"/>
                              <w:vAlign w:val="center"/>
                              <w:hideMark/>
                            </w:tcPr>
                            <w:p w:rsidR="00C97915" w:rsidRDefault="00C97915">
                              <w:pPr>
                                <w:spacing w:line="0" w:lineRule="atLeast"/>
                                <w:rPr>
                                  <w:rFonts w:ascii="Verdana" w:eastAsia="Times New Roman" w:hAnsi="Verdana"/>
                                  <w:color w:val="004A91"/>
                                  <w:sz w:val="18"/>
                                  <w:szCs w:val="18"/>
                                </w:rPr>
                              </w:pPr>
                              <w:r>
                                <w:rPr>
                                  <w:rFonts w:ascii="Verdana" w:eastAsia="Times New Roman" w:hAnsi="Verdana"/>
                                  <w:noProof/>
                                  <w:color w:val="004A91"/>
                                  <w:sz w:val="18"/>
                                  <w:szCs w:val="18"/>
                                </w:rPr>
                                <w:drawing>
                                  <wp:inline distT="0" distB="0" distL="0" distR="0">
                                    <wp:extent cx="8255" cy="8255"/>
                                    <wp:effectExtent l="0" t="0" r="0" b="0"/>
                                    <wp:docPr id="10" name="Afbeelding 10" descr="http://images.m9.mailplus.nl/ts/pharmapartners/PharmaPartners_e_mail_2015/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9.mailplus.nl/ts/pharmapartners/PharmaPartners_e_mail_2015/images/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p w:rsidR="00C97915" w:rsidRDefault="00C97915">
                              <w:pPr>
                                <w:spacing w:line="0" w:lineRule="atLeast"/>
                                <w:rPr>
                                  <w:rFonts w:ascii="Verdana" w:eastAsia="Times New Roman" w:hAnsi="Verdana"/>
                                  <w:color w:val="004A91"/>
                                  <w:sz w:val="18"/>
                                  <w:szCs w:val="18"/>
                                </w:rPr>
                              </w:pPr>
                              <w:r>
                                <w:rPr>
                                  <w:rFonts w:ascii="Verdana" w:eastAsia="Times New Roman" w:hAnsi="Verdana"/>
                                  <w:noProof/>
                                  <w:color w:val="004A91"/>
                                  <w:sz w:val="18"/>
                                  <w:szCs w:val="18"/>
                                </w:rPr>
                                <w:drawing>
                                  <wp:inline distT="0" distB="0" distL="0" distR="0">
                                    <wp:extent cx="2576195" cy="628015"/>
                                    <wp:effectExtent l="0" t="0" r="0" b="635"/>
                                    <wp:docPr id="9" name="Afbeelding 9" descr="Pharma Partners">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rma Partn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6195" cy="628015"/>
                                            </a:xfrm>
                                            <a:prstGeom prst="rect">
                                              <a:avLst/>
                                            </a:prstGeom>
                                            <a:noFill/>
                                            <a:ln>
                                              <a:noFill/>
                                            </a:ln>
                                          </pic:spPr>
                                        </pic:pic>
                                      </a:graphicData>
                                    </a:graphic>
                                  </wp:inline>
                                </w:drawing>
                              </w:r>
                            </w:p>
                          </w:tc>
                          <w:tc>
                            <w:tcPr>
                              <w:tcW w:w="300" w:type="dxa"/>
                              <w:vAlign w:val="center"/>
                              <w:hideMark/>
                            </w:tcPr>
                            <w:p w:rsidR="00C97915" w:rsidRDefault="00C97915">
                              <w:pPr>
                                <w:spacing w:line="0" w:lineRule="atLeast"/>
                                <w:rPr>
                                  <w:rFonts w:ascii="Verdana" w:eastAsia="Times New Roman" w:hAnsi="Verdana"/>
                                  <w:color w:val="004A91"/>
                                  <w:sz w:val="18"/>
                                  <w:szCs w:val="18"/>
                                </w:rPr>
                              </w:pPr>
                              <w:r>
                                <w:rPr>
                                  <w:rFonts w:ascii="Verdana" w:eastAsia="Times New Roman" w:hAnsi="Verdana"/>
                                  <w:noProof/>
                                  <w:color w:val="004A91"/>
                                  <w:sz w:val="18"/>
                                  <w:szCs w:val="18"/>
                                </w:rPr>
                                <w:drawing>
                                  <wp:inline distT="0" distB="0" distL="0" distR="0">
                                    <wp:extent cx="8255" cy="8255"/>
                                    <wp:effectExtent l="0" t="0" r="0" b="0"/>
                                    <wp:docPr id="8" name="Afbeelding 8" descr="http://images.m9.mailplus.nl/ts/pharmapartners/PharmaPartners_e_mail_2015/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9.mailplus.nl/ts/pharmapartners/PharmaPartners_e_mail_2015/images/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C97915" w:rsidRDefault="00C97915">
                        <w:pPr>
                          <w:rPr>
                            <w:rFonts w:eastAsia="Times New Roman"/>
                            <w:sz w:val="20"/>
                            <w:szCs w:val="20"/>
                          </w:rPr>
                        </w:pPr>
                      </w:p>
                    </w:tc>
                  </w:tr>
                </w:tbl>
                <w:p w:rsidR="00C97915" w:rsidRDefault="00C97915">
                  <w:pPr>
                    <w:rPr>
                      <w:rFonts w:ascii="Verdana" w:eastAsia="Times New Roman" w:hAnsi="Verdana"/>
                      <w:vanish/>
                      <w:color w:val="004A91"/>
                      <w:sz w:val="18"/>
                      <w:szCs w:val="18"/>
                    </w:rPr>
                  </w:pPr>
                </w:p>
                <w:tbl>
                  <w:tblPr>
                    <w:tblpPr w:leftFromText="45" w:rightFromText="45" w:vertAnchor="text"/>
                    <w:tblW w:w="3000" w:type="dxa"/>
                    <w:tblCellSpacing w:w="0" w:type="dxa"/>
                    <w:tblCellMar>
                      <w:left w:w="0" w:type="dxa"/>
                      <w:right w:w="0" w:type="dxa"/>
                    </w:tblCellMar>
                    <w:tblLook w:val="04A0" w:firstRow="1" w:lastRow="0" w:firstColumn="1" w:lastColumn="0" w:noHBand="0" w:noVBand="1"/>
                  </w:tblPr>
                  <w:tblGrid>
                    <w:gridCol w:w="3000"/>
                  </w:tblGrid>
                  <w:tr w:rsidR="00C97915">
                    <w:trPr>
                      <w:trHeight w:val="1800"/>
                      <w:tblCellSpacing w:w="0" w:type="dxa"/>
                    </w:trPr>
                    <w:tc>
                      <w:tcPr>
                        <w:tcW w:w="0" w:type="auto"/>
                        <w:shd w:val="clear" w:color="auto" w:fill="A6045F"/>
                        <w:vAlign w:val="bottom"/>
                        <w:hideMark/>
                      </w:tcPr>
                      <w:tbl>
                        <w:tblPr>
                          <w:tblW w:w="5000" w:type="pct"/>
                          <w:tblCellSpacing w:w="0" w:type="dxa"/>
                          <w:tblCellMar>
                            <w:left w:w="0" w:type="dxa"/>
                            <w:right w:w="0" w:type="dxa"/>
                          </w:tblCellMar>
                          <w:tblLook w:val="04A0" w:firstRow="1" w:lastRow="0" w:firstColumn="1" w:lastColumn="0" w:noHBand="0" w:noVBand="1"/>
                        </w:tblPr>
                        <w:tblGrid>
                          <w:gridCol w:w="525"/>
                          <w:gridCol w:w="2175"/>
                          <w:gridCol w:w="300"/>
                        </w:tblGrid>
                        <w:tr w:rsidR="00C97915">
                          <w:trPr>
                            <w:tblCellSpacing w:w="0" w:type="dxa"/>
                          </w:trPr>
                          <w:tc>
                            <w:tcPr>
                              <w:tcW w:w="525" w:type="dxa"/>
                              <w:vAlign w:val="center"/>
                              <w:hideMark/>
                            </w:tcPr>
                            <w:p w:rsidR="00C97915" w:rsidRDefault="00C97915">
                              <w:pPr>
                                <w:spacing w:line="0" w:lineRule="atLeast"/>
                                <w:rPr>
                                  <w:rFonts w:ascii="Verdana" w:eastAsia="Times New Roman" w:hAnsi="Verdana"/>
                                  <w:color w:val="004A91"/>
                                  <w:sz w:val="18"/>
                                  <w:szCs w:val="18"/>
                                </w:rPr>
                              </w:pPr>
                              <w:r>
                                <w:rPr>
                                  <w:rFonts w:ascii="Verdana" w:eastAsia="Times New Roman" w:hAnsi="Verdana"/>
                                  <w:noProof/>
                                  <w:color w:val="004A91"/>
                                  <w:sz w:val="18"/>
                                  <w:szCs w:val="18"/>
                                </w:rPr>
                                <w:drawing>
                                  <wp:inline distT="0" distB="0" distL="0" distR="0">
                                    <wp:extent cx="8255" cy="8255"/>
                                    <wp:effectExtent l="0" t="0" r="0" b="0"/>
                                    <wp:docPr id="7" name="Afbeelding 7" descr="http://images.m9.mailplus.nl/ts/pharmapartners/PharmaPartners_e_mail_2015/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9.mailplus.nl/ts/pharmapartners/PharmaPartners_e_mail_2015/images/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5000" w:type="pct"/>
                                <w:tblCellSpacing w:w="0" w:type="dxa"/>
                                <w:shd w:val="clear" w:color="auto" w:fill="A6045F"/>
                                <w:tblCellMar>
                                  <w:left w:w="0" w:type="dxa"/>
                                  <w:right w:w="0" w:type="dxa"/>
                                </w:tblCellMar>
                                <w:tblLook w:val="04A0" w:firstRow="1" w:lastRow="0" w:firstColumn="1" w:lastColumn="0" w:noHBand="0" w:noVBand="1"/>
                              </w:tblPr>
                              <w:tblGrid>
                                <w:gridCol w:w="2175"/>
                              </w:tblGrid>
                              <w:tr w:rsidR="00C97915">
                                <w:trPr>
                                  <w:tblCellSpacing w:w="0" w:type="dxa"/>
                                </w:trPr>
                                <w:tc>
                                  <w:tcPr>
                                    <w:tcW w:w="0" w:type="auto"/>
                                    <w:shd w:val="clear" w:color="auto" w:fill="A6045F"/>
                                    <w:vAlign w:val="center"/>
                                    <w:hideMark/>
                                  </w:tcPr>
                                  <w:p w:rsidR="00C97915" w:rsidRDefault="00C97915">
                                    <w:pPr>
                                      <w:spacing w:line="300" w:lineRule="exact"/>
                                      <w:jc w:val="right"/>
                                      <w:rPr>
                                        <w:rFonts w:ascii="Verdana" w:eastAsia="Times New Roman" w:hAnsi="Verdana"/>
                                        <w:b/>
                                        <w:bCs/>
                                        <w:color w:val="FEFEFE"/>
                                        <w:sz w:val="29"/>
                                        <w:szCs w:val="29"/>
                                      </w:rPr>
                                    </w:pPr>
                                    <w:r>
                                      <w:rPr>
                                        <w:rFonts w:ascii="Verdana" w:eastAsia="Times New Roman" w:hAnsi="Verdana"/>
                                        <w:b/>
                                        <w:bCs/>
                                        <w:color w:val="FEFEFE"/>
                                        <w:sz w:val="29"/>
                                        <w:szCs w:val="29"/>
                                      </w:rPr>
                                      <w:t>nieuwsbrief</w:t>
                                    </w:r>
                                  </w:p>
                                </w:tc>
                              </w:tr>
                              <w:tr w:rsidR="00C97915">
                                <w:trPr>
                                  <w:tblCellSpacing w:w="0" w:type="dxa"/>
                                </w:trPr>
                                <w:tc>
                                  <w:tcPr>
                                    <w:tcW w:w="0" w:type="auto"/>
                                    <w:shd w:val="clear" w:color="auto" w:fill="A6045F"/>
                                    <w:tcMar>
                                      <w:top w:w="45" w:type="dxa"/>
                                      <w:left w:w="0" w:type="dxa"/>
                                      <w:bottom w:w="240" w:type="dxa"/>
                                      <w:right w:w="0" w:type="dxa"/>
                                    </w:tcMar>
                                    <w:vAlign w:val="center"/>
                                    <w:hideMark/>
                                  </w:tcPr>
                                  <w:p w:rsidR="00C97915" w:rsidRDefault="00C97915">
                                    <w:pPr>
                                      <w:spacing w:line="300" w:lineRule="exact"/>
                                      <w:jc w:val="right"/>
                                      <w:rPr>
                                        <w:rFonts w:ascii="Verdana" w:eastAsia="Times New Roman" w:hAnsi="Verdana"/>
                                        <w:color w:val="FEFEFE"/>
                                        <w:sz w:val="18"/>
                                        <w:szCs w:val="18"/>
                                      </w:rPr>
                                    </w:pPr>
                                    <w:r>
                                      <w:rPr>
                                        <w:rFonts w:ascii="Verdana" w:eastAsia="Times New Roman" w:hAnsi="Verdana"/>
                                        <w:color w:val="FEFEFE"/>
                                        <w:sz w:val="18"/>
                                        <w:szCs w:val="18"/>
                                      </w:rPr>
                                      <w:t>14 juli 2016</w:t>
                                    </w:r>
                                  </w:p>
                                </w:tc>
                              </w:tr>
                            </w:tbl>
                            <w:p w:rsidR="00C97915" w:rsidRDefault="00C97915">
                              <w:pPr>
                                <w:rPr>
                                  <w:rFonts w:eastAsia="Times New Roman"/>
                                  <w:sz w:val="20"/>
                                  <w:szCs w:val="20"/>
                                </w:rPr>
                              </w:pPr>
                            </w:p>
                          </w:tc>
                          <w:tc>
                            <w:tcPr>
                              <w:tcW w:w="300" w:type="dxa"/>
                              <w:vAlign w:val="center"/>
                              <w:hideMark/>
                            </w:tcPr>
                            <w:p w:rsidR="00C97915" w:rsidRDefault="00C97915">
                              <w:pPr>
                                <w:spacing w:line="0" w:lineRule="atLeast"/>
                                <w:rPr>
                                  <w:rFonts w:ascii="Verdana" w:eastAsia="Times New Roman" w:hAnsi="Verdana"/>
                                  <w:color w:val="004A91"/>
                                  <w:sz w:val="18"/>
                                  <w:szCs w:val="18"/>
                                </w:rPr>
                              </w:pPr>
                              <w:r>
                                <w:rPr>
                                  <w:rFonts w:ascii="Verdana" w:eastAsia="Times New Roman" w:hAnsi="Verdana"/>
                                  <w:noProof/>
                                  <w:color w:val="004A91"/>
                                  <w:sz w:val="18"/>
                                  <w:szCs w:val="18"/>
                                </w:rPr>
                                <w:drawing>
                                  <wp:inline distT="0" distB="0" distL="0" distR="0">
                                    <wp:extent cx="8255" cy="8255"/>
                                    <wp:effectExtent l="0" t="0" r="0" b="0"/>
                                    <wp:docPr id="6" name="Afbeelding 6" descr="http://images.m9.mailplus.nl/ts/pharmapartners/PharmaPartners_e_mail_2015/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9.mailplus.nl/ts/pharmapartners/PharmaPartners_e_mail_2015/images/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C97915" w:rsidRDefault="00C97915">
                        <w:pPr>
                          <w:rPr>
                            <w:rFonts w:eastAsia="Times New Roman"/>
                            <w:sz w:val="20"/>
                            <w:szCs w:val="20"/>
                          </w:rPr>
                        </w:pPr>
                      </w:p>
                    </w:tc>
                  </w:tr>
                </w:tbl>
                <w:p w:rsidR="00C97915" w:rsidRDefault="00C97915">
                  <w:pPr>
                    <w:rPr>
                      <w:rFonts w:eastAsia="Times New Roman"/>
                      <w:sz w:val="20"/>
                      <w:szCs w:val="20"/>
                    </w:rPr>
                  </w:pPr>
                </w:p>
              </w:tc>
            </w:tr>
          </w:tbl>
          <w:p w:rsidR="00C97915" w:rsidRDefault="00C97915">
            <w:pPr>
              <w:rPr>
                <w:rFonts w:eastAsia="Times New Roman"/>
                <w:sz w:val="20"/>
                <w:szCs w:val="20"/>
              </w:rPr>
            </w:pPr>
          </w:p>
        </w:tc>
      </w:tr>
    </w:tbl>
    <w:p w:rsidR="00C97915" w:rsidRDefault="00C97915" w:rsidP="00C97915">
      <w:pPr>
        <w:jc w:val="center"/>
        <w:rPr>
          <w:rFonts w:ascii="Verdana" w:eastAsia="Times New Roman" w:hAnsi="Verdana"/>
          <w:vanish/>
          <w:color w:val="004A91"/>
          <w:sz w:val="18"/>
          <w:szCs w:val="18"/>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C97915" w:rsidTr="00C97915">
        <w:trPr>
          <w:tblCellSpacing w:w="0" w:type="dxa"/>
          <w:jc w:val="center"/>
        </w:trPr>
        <w:tc>
          <w:tcPr>
            <w:tcW w:w="0" w:type="auto"/>
            <w:shd w:val="clear" w:color="auto" w:fill="FFFFFF"/>
            <w:tcMar>
              <w:top w:w="450" w:type="dxa"/>
              <w:left w:w="0" w:type="dxa"/>
              <w:bottom w:w="0" w:type="dxa"/>
              <w:right w:w="0" w:type="dxa"/>
            </w:tcMar>
          </w:tcPr>
          <w:tbl>
            <w:tblPr>
              <w:tblW w:w="9000" w:type="dxa"/>
              <w:tblCellSpacing w:w="0" w:type="dxa"/>
              <w:tblCellMar>
                <w:left w:w="0" w:type="dxa"/>
                <w:right w:w="0" w:type="dxa"/>
              </w:tblCellMar>
              <w:tblLook w:val="04A0" w:firstRow="1" w:lastRow="0" w:firstColumn="1" w:lastColumn="0" w:noHBand="0" w:noVBand="1"/>
            </w:tblPr>
            <w:tblGrid>
              <w:gridCol w:w="9000"/>
            </w:tblGrid>
            <w:tr w:rsidR="00C97915">
              <w:trPr>
                <w:tblCellSpacing w:w="0" w:type="dxa"/>
              </w:trPr>
              <w:tc>
                <w:tcPr>
                  <w:tcW w:w="0" w:type="auto"/>
                  <w:hideMark/>
                </w:tcPr>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C97915">
                    <w:trPr>
                      <w:tblCellSpacing w:w="0" w:type="dxa"/>
                      <w:jc w:val="center"/>
                    </w:trPr>
                    <w:tc>
                      <w:tcPr>
                        <w:tcW w:w="0" w:type="auto"/>
                        <w:tcMar>
                          <w:top w:w="0" w:type="dxa"/>
                          <w:left w:w="0" w:type="dxa"/>
                          <w:bottom w:w="120" w:type="dxa"/>
                          <w:right w:w="0" w:type="dxa"/>
                        </w:tcMar>
                        <w:vAlign w:val="center"/>
                        <w:hideMark/>
                      </w:tcPr>
                      <w:p w:rsidR="00C97915" w:rsidRDefault="00C97915">
                        <w:pPr>
                          <w:spacing w:line="330" w:lineRule="exact"/>
                          <w:rPr>
                            <w:rFonts w:ascii="Verdana" w:eastAsia="Times New Roman" w:hAnsi="Verdana"/>
                            <w:b/>
                            <w:bCs/>
                            <w:color w:val="DE017B"/>
                            <w:sz w:val="30"/>
                            <w:szCs w:val="30"/>
                          </w:rPr>
                        </w:pPr>
                        <w:r>
                          <w:rPr>
                            <w:rFonts w:ascii="Verdana" w:eastAsia="Times New Roman" w:hAnsi="Verdana"/>
                            <w:b/>
                            <w:bCs/>
                            <w:color w:val="DE017B"/>
                            <w:sz w:val="30"/>
                            <w:szCs w:val="30"/>
                          </w:rPr>
                          <w:t>Migratie datacenter | Wat betekent dit voor u?</w:t>
                        </w:r>
                      </w:p>
                    </w:tc>
                  </w:tr>
                  <w:tr w:rsidR="00C97915">
                    <w:trPr>
                      <w:tblCellSpacing w:w="0" w:type="dxa"/>
                      <w:jc w:val="center"/>
                    </w:trPr>
                    <w:tc>
                      <w:tcPr>
                        <w:tcW w:w="0" w:type="auto"/>
                        <w:tcMar>
                          <w:top w:w="0" w:type="dxa"/>
                          <w:left w:w="0" w:type="dxa"/>
                          <w:bottom w:w="150" w:type="dxa"/>
                          <w:right w:w="0" w:type="dxa"/>
                        </w:tcMar>
                        <w:vAlign w:val="center"/>
                        <w:hideMark/>
                      </w:tcPr>
                      <w:p w:rsidR="00C97915" w:rsidRDefault="00C97915">
                        <w:pPr>
                          <w:spacing w:line="315" w:lineRule="exact"/>
                          <w:rPr>
                            <w:rFonts w:ascii="Verdana" w:eastAsia="Times New Roman" w:hAnsi="Verdana"/>
                            <w:color w:val="999999"/>
                            <w:sz w:val="21"/>
                            <w:szCs w:val="21"/>
                          </w:rPr>
                        </w:pPr>
                        <w:r>
                          <w:rPr>
                            <w:rFonts w:ascii="Verdana" w:eastAsia="Times New Roman" w:hAnsi="Verdana"/>
                            <w:color w:val="999999"/>
                            <w:sz w:val="21"/>
                            <w:szCs w:val="21"/>
                          </w:rPr>
                          <w:t xml:space="preserve">PharmaPartners verhuist datacenter naar </w:t>
                        </w:r>
                        <w:proofErr w:type="spellStart"/>
                        <w:r>
                          <w:rPr>
                            <w:rFonts w:ascii="Verdana" w:eastAsia="Times New Roman" w:hAnsi="Verdana"/>
                            <w:color w:val="999999"/>
                            <w:sz w:val="21"/>
                            <w:szCs w:val="21"/>
                          </w:rPr>
                          <w:t>ZorgComputercentrum</w:t>
                        </w:r>
                        <w:proofErr w:type="spellEnd"/>
                        <w:r>
                          <w:rPr>
                            <w:rFonts w:ascii="Verdana" w:eastAsia="Times New Roman" w:hAnsi="Verdana"/>
                            <w:color w:val="999999"/>
                            <w:sz w:val="21"/>
                            <w:szCs w:val="21"/>
                          </w:rPr>
                          <w:t xml:space="preserve"> PinkRoccade Healthcare</w:t>
                        </w:r>
                      </w:p>
                    </w:tc>
                  </w:tr>
                  <w:tr w:rsidR="00C97915">
                    <w:trPr>
                      <w:tblCellSpacing w:w="0" w:type="dxa"/>
                      <w:jc w:val="center"/>
                    </w:trPr>
                    <w:tc>
                      <w:tcPr>
                        <w:tcW w:w="0" w:type="auto"/>
                        <w:tcMar>
                          <w:top w:w="0" w:type="dxa"/>
                          <w:left w:w="0" w:type="dxa"/>
                          <w:bottom w:w="150" w:type="dxa"/>
                          <w:right w:w="0" w:type="dxa"/>
                        </w:tcMar>
                        <w:hideMark/>
                      </w:tcPr>
                      <w:p w:rsidR="00C97915" w:rsidRDefault="00C97915">
                        <w:pPr>
                          <w:spacing w:line="300" w:lineRule="exact"/>
                          <w:rPr>
                            <w:rFonts w:ascii="Verdana" w:eastAsia="Times New Roman" w:hAnsi="Verdana"/>
                            <w:color w:val="004A91"/>
                            <w:sz w:val="18"/>
                            <w:szCs w:val="18"/>
                          </w:rPr>
                        </w:pPr>
                        <w:r>
                          <w:rPr>
                            <w:rFonts w:ascii="Verdana" w:eastAsia="Times New Roman" w:hAnsi="Verdana"/>
                            <w:color w:val="004A91"/>
                            <w:sz w:val="18"/>
                            <w:szCs w:val="18"/>
                          </w:rPr>
                          <w:t>Beste klant,</w:t>
                        </w:r>
                        <w:r>
                          <w:rPr>
                            <w:rFonts w:ascii="Verdana" w:eastAsia="Times New Roman" w:hAnsi="Verdana"/>
                            <w:color w:val="004A91"/>
                            <w:sz w:val="18"/>
                            <w:szCs w:val="18"/>
                          </w:rPr>
                          <w:br/>
                        </w:r>
                        <w:r>
                          <w:rPr>
                            <w:rFonts w:ascii="Verdana" w:eastAsia="Times New Roman" w:hAnsi="Verdana"/>
                            <w:color w:val="004A91"/>
                            <w:sz w:val="18"/>
                            <w:szCs w:val="18"/>
                          </w:rPr>
                          <w:br/>
                          <w:t xml:space="preserve">In augustus start de verhuizing van ons datacenter naar het </w:t>
                        </w:r>
                        <w:proofErr w:type="spellStart"/>
                        <w:r>
                          <w:rPr>
                            <w:rFonts w:ascii="Verdana" w:eastAsia="Times New Roman" w:hAnsi="Verdana"/>
                            <w:color w:val="004A91"/>
                            <w:sz w:val="18"/>
                            <w:szCs w:val="18"/>
                          </w:rPr>
                          <w:t>ZorgComputerCentrum</w:t>
                        </w:r>
                        <w:proofErr w:type="spellEnd"/>
                        <w:r>
                          <w:rPr>
                            <w:rFonts w:ascii="Verdana" w:eastAsia="Times New Roman" w:hAnsi="Verdana"/>
                            <w:color w:val="004A91"/>
                            <w:sz w:val="18"/>
                            <w:szCs w:val="18"/>
                          </w:rPr>
                          <w:t xml:space="preserve"> PinkRoccade Healthcare. In dit specifiek voor de zorg ingerichte datacenter worden de nieuwste servers neergezet. In dit bericht leest u wat deze verhuizing van ons datacenter concreet voor u betekent.</w:t>
                        </w:r>
                      </w:p>
                    </w:tc>
                  </w:tr>
                </w:tbl>
                <w:p w:rsidR="00C97915" w:rsidRDefault="00C97915">
                  <w:pPr>
                    <w:jc w:val="center"/>
                    <w:rPr>
                      <w:rFonts w:eastAsia="Times New Roman"/>
                      <w:sz w:val="20"/>
                      <w:szCs w:val="20"/>
                    </w:rPr>
                  </w:pPr>
                </w:p>
              </w:tc>
            </w:tr>
          </w:tbl>
          <w:p w:rsidR="00C97915" w:rsidRDefault="00C97915">
            <w:pPr>
              <w:rPr>
                <w:rFonts w:ascii="Verdana" w:eastAsia="Times New Roman" w:hAnsi="Verdana"/>
                <w:vanish/>
                <w:color w:val="004A91"/>
                <w:sz w:val="18"/>
                <w:szCs w:val="18"/>
              </w:rPr>
            </w:pPr>
          </w:p>
          <w:tbl>
            <w:tblPr>
              <w:tblW w:w="6000" w:type="dxa"/>
              <w:tblCellSpacing w:w="0" w:type="dxa"/>
              <w:tblCellMar>
                <w:left w:w="0" w:type="dxa"/>
                <w:right w:w="0" w:type="dxa"/>
              </w:tblCellMar>
              <w:tblLook w:val="04A0" w:firstRow="1" w:lastRow="0" w:firstColumn="1" w:lastColumn="0" w:noHBand="0" w:noVBand="1"/>
            </w:tblPr>
            <w:tblGrid>
              <w:gridCol w:w="6000"/>
            </w:tblGrid>
            <w:tr w:rsidR="00C97915">
              <w:trPr>
                <w:tblCellSpacing w:w="0" w:type="dxa"/>
              </w:trPr>
              <w:tc>
                <w:tcPr>
                  <w:tcW w:w="0" w:type="auto"/>
                  <w:shd w:val="clear" w:color="auto" w:fill="00326C"/>
                  <w:hideMark/>
                </w:tcPr>
                <w:tbl>
                  <w:tblPr>
                    <w:tblW w:w="4200" w:type="dxa"/>
                    <w:jc w:val="center"/>
                    <w:tblCellSpacing w:w="0" w:type="dxa"/>
                    <w:tblCellMar>
                      <w:left w:w="0" w:type="dxa"/>
                      <w:right w:w="0" w:type="dxa"/>
                    </w:tblCellMar>
                    <w:tblLook w:val="04A0" w:firstRow="1" w:lastRow="0" w:firstColumn="1" w:lastColumn="0" w:noHBand="0" w:noVBand="1"/>
                  </w:tblPr>
                  <w:tblGrid>
                    <w:gridCol w:w="4200"/>
                  </w:tblGrid>
                  <w:tr w:rsidR="00C97915">
                    <w:trPr>
                      <w:tblCellSpacing w:w="0" w:type="dxa"/>
                      <w:jc w:val="center"/>
                    </w:trPr>
                    <w:tc>
                      <w:tcPr>
                        <w:tcW w:w="0" w:type="auto"/>
                        <w:tcMar>
                          <w:top w:w="375" w:type="dxa"/>
                          <w:left w:w="0" w:type="dxa"/>
                          <w:bottom w:w="39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4200"/>
                        </w:tblGrid>
                        <w:tr w:rsidR="00C97915">
                          <w:trPr>
                            <w:tblCellSpacing w:w="0" w:type="dxa"/>
                          </w:trPr>
                          <w:tc>
                            <w:tcPr>
                              <w:tcW w:w="0" w:type="auto"/>
                              <w:tcMar>
                                <w:top w:w="0" w:type="dxa"/>
                                <w:left w:w="0" w:type="dxa"/>
                                <w:bottom w:w="135" w:type="dxa"/>
                                <w:right w:w="0" w:type="dxa"/>
                              </w:tcMar>
                              <w:vAlign w:val="center"/>
                              <w:hideMark/>
                            </w:tcPr>
                            <w:p w:rsidR="00C97915" w:rsidRDefault="00C97915">
                              <w:pPr>
                                <w:rPr>
                                  <w:rFonts w:ascii="Verdana" w:eastAsia="Times New Roman" w:hAnsi="Verdana"/>
                                  <w:b/>
                                  <w:bCs/>
                                  <w:color w:val="FFFFFE"/>
                                  <w:sz w:val="26"/>
                                  <w:szCs w:val="26"/>
                                </w:rPr>
                              </w:pPr>
                              <w:r>
                                <w:rPr>
                                  <w:rFonts w:ascii="Verdana" w:eastAsia="Times New Roman" w:hAnsi="Verdana"/>
                                  <w:b/>
                                  <w:bCs/>
                                  <w:color w:val="FFFFFE"/>
                                  <w:sz w:val="26"/>
                                  <w:szCs w:val="26"/>
                                </w:rPr>
                                <w:t>In deze nieuwsbrief</w:t>
                              </w:r>
                            </w:p>
                          </w:tc>
                        </w:tr>
                        <w:tr w:rsidR="00C9791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70"/>
                                <w:gridCol w:w="3930"/>
                              </w:tblGrid>
                              <w:tr w:rsidR="00C97915">
                                <w:trPr>
                                  <w:tblCellSpacing w:w="0" w:type="dxa"/>
                                </w:trPr>
                                <w:tc>
                                  <w:tcPr>
                                    <w:tcW w:w="270" w:type="dxa"/>
                                  </w:tcPr>
                                  <w:p w:rsidR="00C97915" w:rsidRDefault="00C97915">
                                    <w:pPr>
                                      <w:spacing w:line="300" w:lineRule="exact"/>
                                      <w:rPr>
                                        <w:rFonts w:ascii="Verdana" w:eastAsia="Times New Roman" w:hAnsi="Verdana"/>
                                        <w:color w:val="FFFFFE"/>
                                        <w:sz w:val="18"/>
                                        <w:szCs w:val="18"/>
                                      </w:rPr>
                                    </w:pPr>
                                    <w:r>
                                      <w:rPr>
                                        <w:rFonts w:ascii="Verdana" w:eastAsia="Times New Roman" w:hAnsi="Verdana"/>
                                        <w:color w:val="FFFFFE"/>
                                        <w:sz w:val="18"/>
                                        <w:szCs w:val="18"/>
                                      </w:rPr>
                                      <w:t>&gt;</w:t>
                                    </w:r>
                                  </w:p>
                                </w:tc>
                                <w:tc>
                                  <w:tcPr>
                                    <w:tcW w:w="0" w:type="auto"/>
                                    <w:hideMark/>
                                  </w:tcPr>
                                  <w:p w:rsidR="00C97915" w:rsidRDefault="00C97915">
                                    <w:pPr>
                                      <w:spacing w:line="300" w:lineRule="exact"/>
                                      <w:rPr>
                                        <w:rFonts w:ascii="Verdana" w:eastAsia="Times New Roman" w:hAnsi="Verdana"/>
                                        <w:color w:val="FFFFFE"/>
                                        <w:sz w:val="18"/>
                                        <w:szCs w:val="18"/>
                                      </w:rPr>
                                    </w:pPr>
                                    <w:hyperlink w:anchor="waarom" w:history="1">
                                      <w:r>
                                        <w:rPr>
                                          <w:rStyle w:val="Hyperlink"/>
                                          <w:rFonts w:ascii="Verdana" w:eastAsia="Times New Roman" w:hAnsi="Verdana"/>
                                          <w:color w:val="FFFFFE"/>
                                          <w:sz w:val="18"/>
                                          <w:szCs w:val="18"/>
                                        </w:rPr>
                                        <w:t>Waarom migreren we ons datacenter?</w:t>
                                      </w:r>
                                    </w:hyperlink>
                                  </w:p>
                                </w:tc>
                              </w:tr>
                              <w:tr w:rsidR="00C97915">
                                <w:trPr>
                                  <w:tblCellSpacing w:w="0" w:type="dxa"/>
                                </w:trPr>
                                <w:tc>
                                  <w:tcPr>
                                    <w:tcW w:w="270" w:type="dxa"/>
                                  </w:tcPr>
                                  <w:p w:rsidR="00C97915" w:rsidRDefault="00C97915">
                                    <w:pPr>
                                      <w:spacing w:line="300" w:lineRule="exact"/>
                                      <w:rPr>
                                        <w:rFonts w:ascii="Verdana" w:eastAsia="Times New Roman" w:hAnsi="Verdana"/>
                                        <w:color w:val="FFFFFE"/>
                                        <w:sz w:val="18"/>
                                        <w:szCs w:val="18"/>
                                      </w:rPr>
                                    </w:pPr>
                                    <w:r>
                                      <w:rPr>
                                        <w:rFonts w:ascii="Verdana" w:eastAsia="Times New Roman" w:hAnsi="Verdana"/>
                                        <w:color w:val="FFFFFE"/>
                                        <w:sz w:val="18"/>
                                        <w:szCs w:val="18"/>
                                      </w:rPr>
                                      <w:t>&gt;</w:t>
                                    </w:r>
                                  </w:p>
                                </w:tc>
                                <w:tc>
                                  <w:tcPr>
                                    <w:tcW w:w="0" w:type="auto"/>
                                    <w:hideMark/>
                                  </w:tcPr>
                                  <w:p w:rsidR="00C97915" w:rsidRDefault="00C97915">
                                    <w:pPr>
                                      <w:spacing w:line="300" w:lineRule="exact"/>
                                      <w:rPr>
                                        <w:rFonts w:ascii="Verdana" w:eastAsia="Times New Roman" w:hAnsi="Verdana"/>
                                        <w:color w:val="FFFFFE"/>
                                        <w:sz w:val="18"/>
                                        <w:szCs w:val="18"/>
                                      </w:rPr>
                                    </w:pPr>
                                    <w:hyperlink w:anchor="wat" w:history="1">
                                      <w:r>
                                        <w:rPr>
                                          <w:rStyle w:val="Hyperlink"/>
                                          <w:rFonts w:ascii="Verdana" w:eastAsia="Times New Roman" w:hAnsi="Verdana"/>
                                          <w:color w:val="FFFFFE"/>
                                          <w:sz w:val="18"/>
                                          <w:szCs w:val="18"/>
                                        </w:rPr>
                                        <w:t>Wat levert de migratie op?</w:t>
                                      </w:r>
                                    </w:hyperlink>
                                  </w:p>
                                </w:tc>
                              </w:tr>
                              <w:tr w:rsidR="00C97915">
                                <w:trPr>
                                  <w:tblCellSpacing w:w="0" w:type="dxa"/>
                                </w:trPr>
                                <w:tc>
                                  <w:tcPr>
                                    <w:tcW w:w="270" w:type="dxa"/>
                                  </w:tcPr>
                                  <w:p w:rsidR="00C97915" w:rsidRDefault="00C97915">
                                    <w:pPr>
                                      <w:spacing w:line="300" w:lineRule="exact"/>
                                      <w:rPr>
                                        <w:rFonts w:ascii="Verdana" w:eastAsia="Times New Roman" w:hAnsi="Verdana"/>
                                        <w:color w:val="FFFFFE"/>
                                        <w:sz w:val="18"/>
                                        <w:szCs w:val="18"/>
                                      </w:rPr>
                                    </w:pPr>
                                    <w:r>
                                      <w:rPr>
                                        <w:rFonts w:ascii="Verdana" w:eastAsia="Times New Roman" w:hAnsi="Verdana"/>
                                        <w:color w:val="FFFFFE"/>
                                        <w:sz w:val="18"/>
                                        <w:szCs w:val="18"/>
                                      </w:rPr>
                                      <w:t>&gt;</w:t>
                                    </w:r>
                                  </w:p>
                                </w:tc>
                                <w:tc>
                                  <w:tcPr>
                                    <w:tcW w:w="0" w:type="auto"/>
                                    <w:hideMark/>
                                  </w:tcPr>
                                  <w:p w:rsidR="00C97915" w:rsidRDefault="00C97915">
                                    <w:pPr>
                                      <w:spacing w:line="300" w:lineRule="exact"/>
                                      <w:rPr>
                                        <w:rFonts w:ascii="Verdana" w:eastAsia="Times New Roman" w:hAnsi="Verdana"/>
                                        <w:color w:val="FFFFFE"/>
                                        <w:sz w:val="18"/>
                                        <w:szCs w:val="18"/>
                                      </w:rPr>
                                    </w:pPr>
                                    <w:hyperlink w:anchor="zorgvuldig" w:history="1">
                                      <w:r>
                                        <w:rPr>
                                          <w:rStyle w:val="Hyperlink"/>
                                          <w:rFonts w:ascii="Verdana" w:eastAsia="Times New Roman" w:hAnsi="Verdana"/>
                                          <w:color w:val="FFFFFE"/>
                                          <w:sz w:val="18"/>
                                          <w:szCs w:val="18"/>
                                        </w:rPr>
                                        <w:t>Zorgvuldig en gefaseerd</w:t>
                                      </w:r>
                                    </w:hyperlink>
                                  </w:p>
                                </w:tc>
                              </w:tr>
                              <w:tr w:rsidR="00C97915">
                                <w:trPr>
                                  <w:tblCellSpacing w:w="0" w:type="dxa"/>
                                </w:trPr>
                                <w:tc>
                                  <w:tcPr>
                                    <w:tcW w:w="270" w:type="dxa"/>
                                  </w:tcPr>
                                  <w:p w:rsidR="00C97915" w:rsidRDefault="00C97915">
                                    <w:pPr>
                                      <w:spacing w:line="300" w:lineRule="exact"/>
                                      <w:rPr>
                                        <w:rFonts w:ascii="Verdana" w:eastAsia="Times New Roman" w:hAnsi="Verdana"/>
                                        <w:color w:val="FFFFFE"/>
                                        <w:sz w:val="18"/>
                                        <w:szCs w:val="18"/>
                                      </w:rPr>
                                    </w:pPr>
                                    <w:r>
                                      <w:rPr>
                                        <w:rFonts w:ascii="Verdana" w:eastAsia="Times New Roman" w:hAnsi="Verdana"/>
                                        <w:color w:val="FFFFFE"/>
                                        <w:sz w:val="18"/>
                                        <w:szCs w:val="18"/>
                                      </w:rPr>
                                      <w:t>&gt;</w:t>
                                    </w:r>
                                  </w:p>
                                </w:tc>
                                <w:tc>
                                  <w:tcPr>
                                    <w:tcW w:w="0" w:type="auto"/>
                                    <w:hideMark/>
                                  </w:tcPr>
                                  <w:p w:rsidR="00C97915" w:rsidRDefault="00C97915">
                                    <w:pPr>
                                      <w:spacing w:line="300" w:lineRule="exact"/>
                                      <w:rPr>
                                        <w:rFonts w:ascii="Verdana" w:eastAsia="Times New Roman" w:hAnsi="Verdana"/>
                                        <w:color w:val="FFFFFE"/>
                                        <w:sz w:val="18"/>
                                        <w:szCs w:val="18"/>
                                      </w:rPr>
                                    </w:pPr>
                                    <w:hyperlink w:anchor="ondersteuning" w:history="1">
                                      <w:r>
                                        <w:rPr>
                                          <w:rStyle w:val="Hyperlink"/>
                                          <w:rFonts w:ascii="Verdana" w:eastAsia="Times New Roman" w:hAnsi="Verdana"/>
                                          <w:color w:val="FFFFFE"/>
                                          <w:sz w:val="18"/>
                                          <w:szCs w:val="18"/>
                                        </w:rPr>
                                        <w:t>Welke ondersteuning bieden we?</w:t>
                                      </w:r>
                                    </w:hyperlink>
                                  </w:p>
                                </w:tc>
                              </w:tr>
                            </w:tbl>
                            <w:p w:rsidR="00C97915" w:rsidRDefault="00C97915">
                              <w:pPr>
                                <w:rPr>
                                  <w:rFonts w:eastAsia="Times New Roman"/>
                                  <w:sz w:val="20"/>
                                  <w:szCs w:val="20"/>
                                </w:rPr>
                              </w:pPr>
                            </w:p>
                          </w:tc>
                        </w:tr>
                      </w:tbl>
                      <w:p w:rsidR="00C97915" w:rsidRDefault="00C97915">
                        <w:pPr>
                          <w:rPr>
                            <w:rFonts w:eastAsia="Times New Roman"/>
                            <w:sz w:val="20"/>
                            <w:szCs w:val="20"/>
                          </w:rPr>
                        </w:pPr>
                      </w:p>
                    </w:tc>
                  </w:tr>
                </w:tbl>
                <w:p w:rsidR="00C97915" w:rsidRDefault="00C97915">
                  <w:pPr>
                    <w:jc w:val="center"/>
                    <w:rPr>
                      <w:rFonts w:eastAsia="Times New Roman"/>
                      <w:sz w:val="20"/>
                      <w:szCs w:val="20"/>
                    </w:rPr>
                  </w:pPr>
                </w:p>
              </w:tc>
            </w:tr>
            <w:tr w:rsidR="00C97915">
              <w:trPr>
                <w:trHeight w:val="450"/>
                <w:tblCellSpacing w:w="0" w:type="dxa"/>
              </w:trPr>
              <w:tc>
                <w:tcPr>
                  <w:tcW w:w="0" w:type="auto"/>
                  <w:vAlign w:val="center"/>
                  <w:hideMark/>
                </w:tcPr>
                <w:p w:rsidR="00C97915" w:rsidRDefault="00C97915">
                  <w:pPr>
                    <w:spacing w:line="0" w:lineRule="atLeast"/>
                    <w:rPr>
                      <w:rFonts w:ascii="Verdana" w:eastAsia="Times New Roman" w:hAnsi="Verdana"/>
                      <w:color w:val="004A91"/>
                      <w:sz w:val="2"/>
                      <w:szCs w:val="2"/>
                    </w:rPr>
                  </w:pPr>
                  <w:r>
                    <w:rPr>
                      <w:rFonts w:ascii="Verdana" w:eastAsia="Times New Roman" w:hAnsi="Verdana"/>
                      <w:color w:val="004A91"/>
                      <w:sz w:val="2"/>
                      <w:szCs w:val="2"/>
                    </w:rPr>
                    <w:t> </w:t>
                  </w:r>
                </w:p>
              </w:tc>
            </w:tr>
          </w:tbl>
          <w:p w:rsidR="00C97915" w:rsidRDefault="00C97915">
            <w:pPr>
              <w:rPr>
                <w:rFonts w:ascii="Verdana" w:eastAsia="Times New Roman" w:hAnsi="Verdana"/>
                <w:vanish/>
                <w:color w:val="004A91"/>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C97915">
              <w:trPr>
                <w:tblCellSpacing w:w="0" w:type="dxa"/>
              </w:trPr>
              <w:tc>
                <w:tcPr>
                  <w:tcW w:w="0" w:type="auto"/>
                  <w:hideMark/>
                </w:tcPr>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C97915">
                    <w:trPr>
                      <w:tblCellSpacing w:w="0" w:type="dxa"/>
                      <w:jc w:val="center"/>
                    </w:trPr>
                    <w:tc>
                      <w:tcPr>
                        <w:tcW w:w="0" w:type="auto"/>
                        <w:tcMar>
                          <w:top w:w="0" w:type="dxa"/>
                          <w:left w:w="0" w:type="dxa"/>
                          <w:bottom w:w="180" w:type="dxa"/>
                          <w:right w:w="0" w:type="dxa"/>
                        </w:tcMar>
                        <w:hideMark/>
                      </w:tcPr>
                      <w:p w:rsidR="00C97915" w:rsidRDefault="00C97915">
                        <w:pPr>
                          <w:spacing w:line="300" w:lineRule="exact"/>
                          <w:rPr>
                            <w:rFonts w:ascii="Verdana" w:eastAsia="Times New Roman" w:hAnsi="Verdana"/>
                            <w:b/>
                            <w:bCs/>
                            <w:color w:val="DE017B"/>
                            <w:sz w:val="26"/>
                            <w:szCs w:val="26"/>
                          </w:rPr>
                        </w:pPr>
                        <w:bookmarkStart w:id="0" w:name="waarom"/>
                        <w:bookmarkEnd w:id="0"/>
                        <w:r>
                          <w:rPr>
                            <w:rFonts w:ascii="Verdana" w:eastAsia="Times New Roman" w:hAnsi="Verdana"/>
                            <w:b/>
                            <w:bCs/>
                            <w:color w:val="DE017B"/>
                            <w:sz w:val="26"/>
                            <w:szCs w:val="26"/>
                          </w:rPr>
                          <w:t>Waarom migreren we ons datacenter?</w:t>
                        </w:r>
                      </w:p>
                    </w:tc>
                  </w:tr>
                  <w:tr w:rsidR="00C97915">
                    <w:trPr>
                      <w:tblCellSpacing w:w="0" w:type="dxa"/>
                      <w:jc w:val="center"/>
                    </w:trPr>
                    <w:tc>
                      <w:tcPr>
                        <w:tcW w:w="0" w:type="auto"/>
                        <w:hideMark/>
                      </w:tcPr>
                      <w:p w:rsidR="00C97915" w:rsidRDefault="00C97915">
                        <w:pPr>
                          <w:spacing w:after="240" w:line="300" w:lineRule="exact"/>
                          <w:rPr>
                            <w:rFonts w:ascii="Verdana" w:eastAsia="Times New Roman" w:hAnsi="Verdana"/>
                            <w:color w:val="004A91"/>
                            <w:sz w:val="18"/>
                            <w:szCs w:val="18"/>
                          </w:rPr>
                        </w:pPr>
                        <w:r>
                          <w:rPr>
                            <w:rFonts w:ascii="Verdana" w:eastAsia="Times New Roman" w:hAnsi="Verdana"/>
                            <w:color w:val="004A91"/>
                            <w:sz w:val="18"/>
                            <w:szCs w:val="18"/>
                          </w:rPr>
                          <w:t>We doen deze forse investering om onze systemen verder te optimaliseren. Zo kunnen we ook de komende veertig jaar de beste systemen blijven leveren voor de eerstelijnszorg.</w:t>
                        </w:r>
                      </w:p>
                    </w:tc>
                  </w:tr>
                </w:tbl>
                <w:p w:rsidR="00C97915" w:rsidRDefault="00C97915">
                  <w:pPr>
                    <w:jc w:val="center"/>
                    <w:rPr>
                      <w:rFonts w:eastAsia="Times New Roman"/>
                      <w:sz w:val="20"/>
                      <w:szCs w:val="20"/>
                    </w:rPr>
                  </w:pPr>
                </w:p>
              </w:tc>
            </w:tr>
          </w:tbl>
          <w:p w:rsidR="00C97915" w:rsidRDefault="00C97915">
            <w:pPr>
              <w:rPr>
                <w:rFonts w:ascii="Verdana" w:eastAsia="Times New Roman" w:hAnsi="Verdana"/>
                <w:vanish/>
                <w:color w:val="004A91"/>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C97915">
              <w:trPr>
                <w:tblCellSpacing w:w="0" w:type="dxa"/>
              </w:trPr>
              <w:tc>
                <w:tcPr>
                  <w:tcW w:w="0" w:type="auto"/>
                  <w:hideMark/>
                </w:tcPr>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C97915">
                    <w:trPr>
                      <w:tblCellSpacing w:w="0" w:type="dxa"/>
                      <w:jc w:val="center"/>
                    </w:trPr>
                    <w:tc>
                      <w:tcPr>
                        <w:tcW w:w="0" w:type="auto"/>
                        <w:tcMar>
                          <w:top w:w="0" w:type="dxa"/>
                          <w:left w:w="0" w:type="dxa"/>
                          <w:bottom w:w="180" w:type="dxa"/>
                          <w:right w:w="0" w:type="dxa"/>
                        </w:tcMar>
                        <w:hideMark/>
                      </w:tcPr>
                      <w:p w:rsidR="00C97915" w:rsidRDefault="00C97915">
                        <w:pPr>
                          <w:spacing w:line="300" w:lineRule="exact"/>
                          <w:rPr>
                            <w:rFonts w:ascii="Verdana" w:eastAsia="Times New Roman" w:hAnsi="Verdana"/>
                            <w:b/>
                            <w:bCs/>
                            <w:color w:val="DE017B"/>
                            <w:sz w:val="26"/>
                            <w:szCs w:val="26"/>
                          </w:rPr>
                        </w:pPr>
                        <w:bookmarkStart w:id="1" w:name="wat"/>
                        <w:bookmarkEnd w:id="1"/>
                        <w:r>
                          <w:rPr>
                            <w:rFonts w:ascii="Verdana" w:eastAsia="Times New Roman" w:hAnsi="Verdana"/>
                            <w:b/>
                            <w:bCs/>
                            <w:color w:val="DE017B"/>
                            <w:sz w:val="26"/>
                            <w:szCs w:val="26"/>
                          </w:rPr>
                          <w:t>Wat levert de migratie op?</w:t>
                        </w:r>
                      </w:p>
                    </w:tc>
                  </w:tr>
                  <w:tr w:rsidR="00C97915">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55"/>
                          <w:gridCol w:w="6945"/>
                        </w:tblGrid>
                        <w:tr w:rsidR="00C97915">
                          <w:trPr>
                            <w:tblCellSpacing w:w="0" w:type="dxa"/>
                          </w:trPr>
                          <w:tc>
                            <w:tcPr>
                              <w:tcW w:w="255" w:type="dxa"/>
                              <w:hideMark/>
                            </w:tcPr>
                            <w:p w:rsidR="00C97915" w:rsidRDefault="00C97915">
                              <w:pPr>
                                <w:spacing w:line="0" w:lineRule="atLeast"/>
                                <w:rPr>
                                  <w:rFonts w:ascii="Verdana" w:eastAsia="Times New Roman" w:hAnsi="Verdana"/>
                                  <w:color w:val="004A91"/>
                                  <w:sz w:val="2"/>
                                  <w:szCs w:val="2"/>
                                </w:rPr>
                              </w:pPr>
                              <w:r>
                                <w:rPr>
                                  <w:rFonts w:ascii="Verdana" w:eastAsia="Times New Roman" w:hAnsi="Verdana"/>
                                  <w:noProof/>
                                  <w:color w:val="004A91"/>
                                  <w:sz w:val="2"/>
                                  <w:szCs w:val="2"/>
                                </w:rPr>
                                <w:drawing>
                                  <wp:inline distT="0" distB="0" distL="0" distR="0">
                                    <wp:extent cx="158750" cy="142875"/>
                                    <wp:effectExtent l="0" t="0" r="0" b="9525"/>
                                    <wp:docPr id="5" name="Afbeelding 5" descr="http://images.m9.mailplus.nl/ts/pharmapartners/PharmaPartners_e_mail_2015/images/bullet_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9.mailplus.nl/ts/pharmapartners/PharmaPartners_e_mail_2015/images/bullet_ti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p>
                          </w:tc>
                          <w:tc>
                            <w:tcPr>
                              <w:tcW w:w="0" w:type="auto"/>
                              <w:hideMark/>
                            </w:tcPr>
                            <w:p w:rsidR="00C97915" w:rsidRDefault="00C97915">
                              <w:pPr>
                                <w:spacing w:line="300" w:lineRule="exact"/>
                                <w:rPr>
                                  <w:rFonts w:ascii="Verdana" w:eastAsia="Times New Roman" w:hAnsi="Verdana"/>
                                  <w:color w:val="004A91"/>
                                  <w:sz w:val="18"/>
                                  <w:szCs w:val="18"/>
                                </w:rPr>
                              </w:pPr>
                              <w:r>
                                <w:rPr>
                                  <w:rFonts w:ascii="Verdana" w:eastAsia="Times New Roman" w:hAnsi="Verdana"/>
                                  <w:color w:val="004A91"/>
                                  <w:sz w:val="18"/>
                                  <w:szCs w:val="18"/>
                                </w:rPr>
                                <w:t>De migratie heeft betere en snellere systemen tot gevolg.</w:t>
                              </w:r>
                            </w:p>
                          </w:tc>
                        </w:tr>
                        <w:tr w:rsidR="00C97915">
                          <w:trPr>
                            <w:tblCellSpacing w:w="0" w:type="dxa"/>
                          </w:trPr>
                          <w:tc>
                            <w:tcPr>
                              <w:tcW w:w="255" w:type="dxa"/>
                              <w:hideMark/>
                            </w:tcPr>
                            <w:p w:rsidR="00C97915" w:rsidRDefault="00C97915">
                              <w:pPr>
                                <w:spacing w:line="0" w:lineRule="atLeast"/>
                                <w:rPr>
                                  <w:rFonts w:ascii="Verdana" w:eastAsia="Times New Roman" w:hAnsi="Verdana"/>
                                  <w:color w:val="004A91"/>
                                  <w:sz w:val="2"/>
                                  <w:szCs w:val="2"/>
                                </w:rPr>
                              </w:pPr>
                              <w:r>
                                <w:rPr>
                                  <w:rFonts w:ascii="Verdana" w:eastAsia="Times New Roman" w:hAnsi="Verdana"/>
                                  <w:noProof/>
                                  <w:color w:val="004A91"/>
                                  <w:sz w:val="2"/>
                                  <w:szCs w:val="2"/>
                                </w:rPr>
                                <w:drawing>
                                  <wp:inline distT="0" distB="0" distL="0" distR="0">
                                    <wp:extent cx="158750" cy="142875"/>
                                    <wp:effectExtent l="0" t="0" r="0" b="9525"/>
                                    <wp:docPr id="4" name="Afbeelding 4" descr="http://images.m9.mailplus.nl/ts/pharmapartners/PharmaPartners_e_mail_2015/images/bullet_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9.mailplus.nl/ts/pharmapartners/PharmaPartners_e_mail_2015/images/bullet_ti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p>
                          </w:tc>
                          <w:tc>
                            <w:tcPr>
                              <w:tcW w:w="0" w:type="auto"/>
                              <w:hideMark/>
                            </w:tcPr>
                            <w:p w:rsidR="00C97915" w:rsidRDefault="00C97915">
                              <w:pPr>
                                <w:spacing w:line="300" w:lineRule="exact"/>
                                <w:rPr>
                                  <w:rFonts w:ascii="Verdana" w:eastAsia="Times New Roman" w:hAnsi="Verdana"/>
                                  <w:color w:val="004A91"/>
                                  <w:sz w:val="18"/>
                                  <w:szCs w:val="18"/>
                                </w:rPr>
                              </w:pPr>
                              <w:r>
                                <w:rPr>
                                  <w:rFonts w:ascii="Verdana" w:eastAsia="Times New Roman" w:hAnsi="Verdana"/>
                                  <w:color w:val="004A91"/>
                                  <w:sz w:val="18"/>
                                  <w:szCs w:val="18"/>
                                </w:rPr>
                                <w:t>De ruime capaciteit binnen het datacentrum maakt het hele PharmaPartners-systeem volledig toekomstbestendig en geeft ruimte voor beheer en innovatie.</w:t>
                              </w:r>
                            </w:p>
                          </w:tc>
                        </w:tr>
                        <w:tr w:rsidR="00C97915">
                          <w:trPr>
                            <w:tblCellSpacing w:w="0" w:type="dxa"/>
                          </w:trPr>
                          <w:tc>
                            <w:tcPr>
                              <w:tcW w:w="255" w:type="dxa"/>
                              <w:hideMark/>
                            </w:tcPr>
                            <w:p w:rsidR="00C97915" w:rsidRDefault="00C97915">
                              <w:pPr>
                                <w:spacing w:line="0" w:lineRule="atLeast"/>
                                <w:rPr>
                                  <w:rFonts w:ascii="Verdana" w:eastAsia="Times New Roman" w:hAnsi="Verdana"/>
                                  <w:color w:val="004A91"/>
                                  <w:sz w:val="2"/>
                                  <w:szCs w:val="2"/>
                                </w:rPr>
                              </w:pPr>
                              <w:r>
                                <w:rPr>
                                  <w:rFonts w:ascii="Verdana" w:eastAsia="Times New Roman" w:hAnsi="Verdana"/>
                                  <w:noProof/>
                                  <w:color w:val="004A91"/>
                                  <w:sz w:val="2"/>
                                  <w:szCs w:val="2"/>
                                </w:rPr>
                                <w:lastRenderedPageBreak/>
                                <w:drawing>
                                  <wp:inline distT="0" distB="0" distL="0" distR="0">
                                    <wp:extent cx="158750" cy="142875"/>
                                    <wp:effectExtent l="0" t="0" r="0" b="9525"/>
                                    <wp:docPr id="3" name="Afbeelding 3" descr="http://images.m9.mailplus.nl/ts/pharmapartners/PharmaPartners_e_mail_2015/images/bullet_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9.mailplus.nl/ts/pharmapartners/PharmaPartners_e_mail_2015/images/bullet_ti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p>
                          </w:tc>
                          <w:tc>
                            <w:tcPr>
                              <w:tcW w:w="0" w:type="auto"/>
                              <w:hideMark/>
                            </w:tcPr>
                            <w:p w:rsidR="00C97915" w:rsidRDefault="00C97915">
                              <w:pPr>
                                <w:spacing w:line="300" w:lineRule="exact"/>
                                <w:rPr>
                                  <w:rFonts w:ascii="Verdana" w:eastAsia="Times New Roman" w:hAnsi="Verdana"/>
                                  <w:color w:val="004A91"/>
                                  <w:sz w:val="18"/>
                                  <w:szCs w:val="18"/>
                                </w:rPr>
                              </w:pPr>
                              <w:r>
                                <w:rPr>
                                  <w:rFonts w:ascii="Verdana" w:eastAsia="Times New Roman" w:hAnsi="Verdana"/>
                                  <w:color w:val="004A91"/>
                                  <w:sz w:val="18"/>
                                  <w:szCs w:val="18"/>
                                </w:rPr>
                                <w:t>Door de nieuwe inrichting wordt de stabiliteit van het systeem vergroot.</w:t>
                              </w:r>
                            </w:p>
                          </w:tc>
                        </w:tr>
                        <w:tr w:rsidR="00C97915">
                          <w:trPr>
                            <w:tblCellSpacing w:w="0" w:type="dxa"/>
                          </w:trPr>
                          <w:tc>
                            <w:tcPr>
                              <w:tcW w:w="255" w:type="dxa"/>
                              <w:hideMark/>
                            </w:tcPr>
                            <w:p w:rsidR="00C97915" w:rsidRDefault="00C97915">
                              <w:pPr>
                                <w:spacing w:line="0" w:lineRule="atLeast"/>
                                <w:rPr>
                                  <w:rFonts w:ascii="Verdana" w:eastAsia="Times New Roman" w:hAnsi="Verdana"/>
                                  <w:color w:val="004A91"/>
                                  <w:sz w:val="2"/>
                                  <w:szCs w:val="2"/>
                                </w:rPr>
                              </w:pPr>
                              <w:r>
                                <w:rPr>
                                  <w:rFonts w:ascii="Verdana" w:eastAsia="Times New Roman" w:hAnsi="Verdana"/>
                                  <w:noProof/>
                                  <w:color w:val="004A91"/>
                                  <w:sz w:val="2"/>
                                  <w:szCs w:val="2"/>
                                </w:rPr>
                                <w:drawing>
                                  <wp:inline distT="0" distB="0" distL="0" distR="0">
                                    <wp:extent cx="158750" cy="142875"/>
                                    <wp:effectExtent l="0" t="0" r="0" b="9525"/>
                                    <wp:docPr id="2" name="Afbeelding 2" descr="http://images.m9.mailplus.nl/ts/pharmapartners/PharmaPartners_e_mail_2015/images/bullet_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9.mailplus.nl/ts/pharmapartners/PharmaPartners_e_mail_2015/images/bullet_ti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p>
                          </w:tc>
                          <w:tc>
                            <w:tcPr>
                              <w:tcW w:w="0" w:type="auto"/>
                              <w:hideMark/>
                            </w:tcPr>
                            <w:p w:rsidR="00C97915" w:rsidRDefault="00C97915">
                              <w:pPr>
                                <w:spacing w:line="300" w:lineRule="exact"/>
                                <w:rPr>
                                  <w:rFonts w:ascii="Verdana" w:eastAsia="Times New Roman" w:hAnsi="Verdana"/>
                                  <w:color w:val="004A91"/>
                                  <w:sz w:val="18"/>
                                  <w:szCs w:val="18"/>
                                </w:rPr>
                              </w:pPr>
                              <w:r>
                                <w:rPr>
                                  <w:rFonts w:ascii="Verdana" w:eastAsia="Times New Roman" w:hAnsi="Verdana"/>
                                  <w:color w:val="004A91"/>
                                  <w:sz w:val="18"/>
                                  <w:szCs w:val="18"/>
                                </w:rPr>
                                <w:t>De continuïteit is onder meer gegarandeerd doordat de complete infrastructuur dubbel is uitgevoerd. Hiermee zijn we uniek in de markt en leveren we de hoogste servicelevels die beschikbaar zijn.</w:t>
                              </w:r>
                            </w:p>
                          </w:tc>
                        </w:tr>
                        <w:tr w:rsidR="00C97915">
                          <w:trPr>
                            <w:tblCellSpacing w:w="0" w:type="dxa"/>
                          </w:trPr>
                          <w:tc>
                            <w:tcPr>
                              <w:tcW w:w="255" w:type="dxa"/>
                              <w:hideMark/>
                            </w:tcPr>
                            <w:p w:rsidR="00C97915" w:rsidRDefault="00C97915">
                              <w:pPr>
                                <w:spacing w:line="0" w:lineRule="atLeast"/>
                                <w:rPr>
                                  <w:rFonts w:ascii="Verdana" w:eastAsia="Times New Roman" w:hAnsi="Verdana"/>
                                  <w:color w:val="004A91"/>
                                  <w:sz w:val="2"/>
                                  <w:szCs w:val="2"/>
                                </w:rPr>
                              </w:pPr>
                              <w:r>
                                <w:rPr>
                                  <w:rFonts w:ascii="Verdana" w:eastAsia="Times New Roman" w:hAnsi="Verdana"/>
                                  <w:noProof/>
                                  <w:color w:val="004A91"/>
                                  <w:sz w:val="2"/>
                                  <w:szCs w:val="2"/>
                                </w:rPr>
                                <w:drawing>
                                  <wp:inline distT="0" distB="0" distL="0" distR="0">
                                    <wp:extent cx="158750" cy="142875"/>
                                    <wp:effectExtent l="0" t="0" r="0" b="9525"/>
                                    <wp:docPr id="1" name="Afbeelding 1" descr="http://images.m9.mailplus.nl/ts/pharmapartners/PharmaPartners_e_mail_2015/images/bullet_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9.mailplus.nl/ts/pharmapartners/PharmaPartners_e_mail_2015/images/bullet_ti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p>
                          </w:tc>
                          <w:tc>
                            <w:tcPr>
                              <w:tcW w:w="0" w:type="auto"/>
                              <w:hideMark/>
                            </w:tcPr>
                            <w:p w:rsidR="00C97915" w:rsidRDefault="00C97915">
                              <w:pPr>
                                <w:spacing w:after="240" w:line="300" w:lineRule="exact"/>
                                <w:rPr>
                                  <w:rFonts w:ascii="Verdana" w:eastAsia="Times New Roman" w:hAnsi="Verdana"/>
                                  <w:color w:val="004A91"/>
                                  <w:sz w:val="18"/>
                                  <w:szCs w:val="18"/>
                                </w:rPr>
                              </w:pPr>
                              <w:r>
                                <w:rPr>
                                  <w:rFonts w:ascii="Verdana" w:eastAsia="Times New Roman" w:hAnsi="Verdana"/>
                                  <w:color w:val="004A91"/>
                                  <w:sz w:val="18"/>
                                  <w:szCs w:val="18"/>
                                </w:rPr>
                                <w:t>U bent ervan verzekerd dat uw data onder de hoogste beveiligingseisen wordt beheerd.</w:t>
                              </w:r>
                            </w:p>
                          </w:tc>
                        </w:tr>
                      </w:tbl>
                      <w:p w:rsidR="00C97915" w:rsidRDefault="00C97915">
                        <w:pPr>
                          <w:rPr>
                            <w:rFonts w:eastAsia="Times New Roman"/>
                            <w:sz w:val="20"/>
                            <w:szCs w:val="20"/>
                          </w:rPr>
                        </w:pPr>
                      </w:p>
                    </w:tc>
                  </w:tr>
                </w:tbl>
                <w:p w:rsidR="00C97915" w:rsidRDefault="00C97915">
                  <w:pPr>
                    <w:jc w:val="center"/>
                    <w:rPr>
                      <w:rFonts w:eastAsia="Times New Roman"/>
                      <w:sz w:val="20"/>
                      <w:szCs w:val="20"/>
                    </w:rPr>
                  </w:pPr>
                </w:p>
              </w:tc>
            </w:tr>
          </w:tbl>
          <w:p w:rsidR="00C97915" w:rsidRDefault="00C97915">
            <w:pPr>
              <w:rPr>
                <w:rFonts w:ascii="Verdana" w:eastAsia="Times New Roman" w:hAnsi="Verdana"/>
                <w:vanish/>
                <w:color w:val="004A91"/>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C97915">
              <w:trPr>
                <w:tblCellSpacing w:w="0" w:type="dxa"/>
              </w:trPr>
              <w:tc>
                <w:tcPr>
                  <w:tcW w:w="0" w:type="auto"/>
                  <w:hideMark/>
                </w:tcPr>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C97915">
                    <w:trPr>
                      <w:tblCellSpacing w:w="0" w:type="dxa"/>
                      <w:jc w:val="center"/>
                    </w:trPr>
                    <w:tc>
                      <w:tcPr>
                        <w:tcW w:w="0" w:type="auto"/>
                        <w:tcMar>
                          <w:top w:w="0" w:type="dxa"/>
                          <w:left w:w="0" w:type="dxa"/>
                          <w:bottom w:w="180" w:type="dxa"/>
                          <w:right w:w="0" w:type="dxa"/>
                        </w:tcMar>
                        <w:hideMark/>
                      </w:tcPr>
                      <w:p w:rsidR="00C97915" w:rsidRDefault="00C97915">
                        <w:pPr>
                          <w:spacing w:line="300" w:lineRule="exact"/>
                          <w:rPr>
                            <w:rFonts w:ascii="Verdana" w:eastAsia="Times New Roman" w:hAnsi="Verdana"/>
                            <w:b/>
                            <w:bCs/>
                            <w:color w:val="DE017B"/>
                            <w:sz w:val="26"/>
                            <w:szCs w:val="26"/>
                          </w:rPr>
                        </w:pPr>
                        <w:bookmarkStart w:id="2" w:name="zorgvuldig"/>
                        <w:bookmarkEnd w:id="2"/>
                        <w:r>
                          <w:rPr>
                            <w:rFonts w:ascii="Verdana" w:eastAsia="Times New Roman" w:hAnsi="Verdana"/>
                            <w:b/>
                            <w:bCs/>
                            <w:color w:val="DE017B"/>
                            <w:sz w:val="26"/>
                            <w:szCs w:val="26"/>
                          </w:rPr>
                          <w:t>Zorgvuldig en gefaseerd</w:t>
                        </w:r>
                      </w:p>
                    </w:tc>
                  </w:tr>
                  <w:tr w:rsidR="00C97915">
                    <w:trPr>
                      <w:tblCellSpacing w:w="0" w:type="dxa"/>
                      <w:jc w:val="center"/>
                    </w:trPr>
                    <w:tc>
                      <w:tcPr>
                        <w:tcW w:w="0" w:type="auto"/>
                        <w:hideMark/>
                      </w:tcPr>
                      <w:p w:rsidR="00C97915" w:rsidRDefault="00C97915">
                        <w:pPr>
                          <w:spacing w:after="240" w:line="300" w:lineRule="exact"/>
                          <w:rPr>
                            <w:rFonts w:ascii="Verdana" w:eastAsia="Times New Roman" w:hAnsi="Verdana"/>
                            <w:color w:val="004A91"/>
                            <w:sz w:val="18"/>
                            <w:szCs w:val="18"/>
                          </w:rPr>
                        </w:pPr>
                        <w:r>
                          <w:rPr>
                            <w:rFonts w:ascii="Verdana" w:eastAsia="Times New Roman" w:hAnsi="Verdana"/>
                            <w:color w:val="004A91"/>
                            <w:sz w:val="18"/>
                            <w:szCs w:val="18"/>
                          </w:rPr>
                          <w:t>De migratie van het datacenter is een groot project, waarbij u als klant centraal staat. We voeren de migratie zorgvuldig en gefaseerd uit en de kwaliteit gaat hierbij boven alles. Zo starten we in augustus met een pilot, waarbij de eerste clusters overgaan naar het nieuwe datacenter. In september en oktober zetten we de andere clusters gefaseerd over. Dit houdt in dat de applicaties op uw cluster op één avond in deze periode enige tijd niet beschikbaar zijn. Na de pilot komen we bij u terug met meer details over de migratie. Ook brengen we u uiteraard vijf dagen voor de migratie op de hoogte van de definitieve datum waarop we uw cluster migreren.</w:t>
                        </w:r>
                      </w:p>
                    </w:tc>
                  </w:tr>
                </w:tbl>
                <w:p w:rsidR="00C97915" w:rsidRDefault="00C97915">
                  <w:pPr>
                    <w:jc w:val="center"/>
                    <w:rPr>
                      <w:rFonts w:eastAsia="Times New Roman"/>
                      <w:sz w:val="20"/>
                      <w:szCs w:val="20"/>
                    </w:rPr>
                  </w:pPr>
                </w:p>
              </w:tc>
            </w:tr>
          </w:tbl>
          <w:p w:rsidR="00C97915" w:rsidRDefault="00C97915">
            <w:pPr>
              <w:rPr>
                <w:rFonts w:ascii="Verdana" w:eastAsia="Times New Roman" w:hAnsi="Verdana"/>
                <w:vanish/>
                <w:color w:val="004A91"/>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C97915">
              <w:trPr>
                <w:tblCellSpacing w:w="0" w:type="dxa"/>
              </w:trPr>
              <w:tc>
                <w:tcPr>
                  <w:tcW w:w="0" w:type="auto"/>
                  <w:hideMark/>
                </w:tcPr>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C97915">
                    <w:trPr>
                      <w:tblCellSpacing w:w="0" w:type="dxa"/>
                      <w:jc w:val="center"/>
                    </w:trPr>
                    <w:tc>
                      <w:tcPr>
                        <w:tcW w:w="0" w:type="auto"/>
                        <w:tcMar>
                          <w:top w:w="0" w:type="dxa"/>
                          <w:left w:w="0" w:type="dxa"/>
                          <w:bottom w:w="180" w:type="dxa"/>
                          <w:right w:w="0" w:type="dxa"/>
                        </w:tcMar>
                        <w:hideMark/>
                      </w:tcPr>
                      <w:p w:rsidR="00C97915" w:rsidRDefault="00C97915">
                        <w:pPr>
                          <w:spacing w:line="300" w:lineRule="exact"/>
                          <w:rPr>
                            <w:rFonts w:ascii="Verdana" w:eastAsia="Times New Roman" w:hAnsi="Verdana"/>
                            <w:b/>
                            <w:bCs/>
                            <w:color w:val="DE017B"/>
                            <w:sz w:val="26"/>
                            <w:szCs w:val="26"/>
                          </w:rPr>
                        </w:pPr>
                        <w:bookmarkStart w:id="3" w:name="ondersteuning"/>
                        <w:bookmarkEnd w:id="3"/>
                        <w:r>
                          <w:rPr>
                            <w:rFonts w:ascii="Verdana" w:eastAsia="Times New Roman" w:hAnsi="Verdana"/>
                            <w:b/>
                            <w:bCs/>
                            <w:color w:val="DE017B"/>
                            <w:sz w:val="26"/>
                            <w:szCs w:val="26"/>
                          </w:rPr>
                          <w:t>Welke ondersteuning bieden we?</w:t>
                        </w:r>
                      </w:p>
                    </w:tc>
                  </w:tr>
                  <w:tr w:rsidR="00C97915">
                    <w:trPr>
                      <w:tblCellSpacing w:w="0" w:type="dxa"/>
                      <w:jc w:val="center"/>
                    </w:trPr>
                    <w:tc>
                      <w:tcPr>
                        <w:tcW w:w="0" w:type="auto"/>
                        <w:hideMark/>
                      </w:tcPr>
                      <w:p w:rsidR="00C97915" w:rsidRDefault="00C97915">
                        <w:pPr>
                          <w:spacing w:line="300" w:lineRule="exact"/>
                          <w:rPr>
                            <w:rFonts w:ascii="Verdana" w:eastAsia="Times New Roman" w:hAnsi="Verdana"/>
                            <w:color w:val="004A91"/>
                            <w:sz w:val="18"/>
                            <w:szCs w:val="18"/>
                          </w:rPr>
                        </w:pPr>
                        <w:r>
                          <w:rPr>
                            <w:rFonts w:ascii="Verdana" w:eastAsia="Times New Roman" w:hAnsi="Verdana"/>
                            <w:color w:val="004A91"/>
                            <w:sz w:val="18"/>
                            <w:szCs w:val="18"/>
                          </w:rPr>
                          <w:t xml:space="preserve">We monitoren extra, zodat we op tijd in kunnen grijpen indien dit nodig is. Bij een grootschalig project kunnen zich altijd onvoorziene situaties voordoen. Mocht dit het geval zijn, dan staat er direct een toegewijd team voor u klaar om de beste ondersteuning te bieden. U krijgt hiervoor een apart telefoonnummer bij Customer Support, zodat u zo snel mogelijk door onze specialisten geholpen wordt. Ruim vijf dagen voor de migratie ontvangt u hier concretere informatie over. Ook is er voor de huisartsenposten en dienstapotheken extra personeel beschikbaar op de betreffende avonden van de migratie. Met hen wordt vooraf afgesproken wat het beste tijdstip op de avond is om de migratie te laten plaatsvinden. </w:t>
                        </w:r>
                        <w:r>
                          <w:rPr>
                            <w:rFonts w:ascii="Verdana" w:eastAsia="Times New Roman" w:hAnsi="Verdana"/>
                            <w:color w:val="004A91"/>
                            <w:sz w:val="18"/>
                            <w:szCs w:val="18"/>
                          </w:rPr>
                          <w:br/>
                          <w:t> </w:t>
                        </w:r>
                        <w:r>
                          <w:rPr>
                            <w:rFonts w:ascii="Verdana" w:eastAsia="Times New Roman" w:hAnsi="Verdana"/>
                            <w:color w:val="004A91"/>
                            <w:sz w:val="18"/>
                            <w:szCs w:val="18"/>
                          </w:rPr>
                          <w:br/>
                          <w:t xml:space="preserve">Heeft u nog vragen of opmerkingen? Neem dan gerust contact met ons op via </w:t>
                        </w:r>
                        <w:hyperlink r:id="rId9" w:tooltip="" w:history="1">
                          <w:r>
                            <w:rPr>
                              <w:rStyle w:val="Hyperlink"/>
                              <w:rFonts w:ascii="Verdana" w:eastAsia="Times New Roman" w:hAnsi="Verdana"/>
                              <w:color w:val="004A91"/>
                              <w:sz w:val="18"/>
                              <w:szCs w:val="18"/>
                              <w:u w:val="none"/>
                            </w:rPr>
                            <w:t>mijn.pharmapartners.nl</w:t>
                          </w:r>
                        </w:hyperlink>
                        <w:r>
                          <w:rPr>
                            <w:rFonts w:ascii="Verdana" w:eastAsia="Times New Roman" w:hAnsi="Verdana"/>
                            <w:color w:val="004A91"/>
                            <w:sz w:val="18"/>
                            <w:szCs w:val="18"/>
                          </w:rPr>
                          <w:t xml:space="preserve"> of via telefoonnummer 088 688 88 00.</w:t>
                        </w:r>
                        <w:r>
                          <w:rPr>
                            <w:rFonts w:ascii="Verdana" w:eastAsia="Times New Roman" w:hAnsi="Verdana"/>
                            <w:color w:val="004A91"/>
                            <w:sz w:val="18"/>
                            <w:szCs w:val="18"/>
                          </w:rPr>
                          <w:br/>
                          <w:t> </w:t>
                        </w:r>
                        <w:r>
                          <w:rPr>
                            <w:rFonts w:ascii="Verdana" w:eastAsia="Times New Roman" w:hAnsi="Verdana"/>
                            <w:color w:val="004A91"/>
                            <w:sz w:val="18"/>
                            <w:szCs w:val="18"/>
                          </w:rPr>
                          <w:br/>
                          <w:t>Met vriendelijke groet,</w:t>
                        </w:r>
                        <w:r>
                          <w:rPr>
                            <w:rFonts w:ascii="Verdana" w:eastAsia="Times New Roman" w:hAnsi="Verdana"/>
                            <w:color w:val="004A91"/>
                            <w:sz w:val="18"/>
                            <w:szCs w:val="18"/>
                          </w:rPr>
                          <w:br/>
                        </w:r>
                        <w:r>
                          <w:rPr>
                            <w:rFonts w:ascii="Verdana" w:eastAsia="Times New Roman" w:hAnsi="Verdana"/>
                            <w:color w:val="004A91"/>
                            <w:sz w:val="18"/>
                            <w:szCs w:val="18"/>
                          </w:rPr>
                          <w:br/>
                          <w:t>Sander de Jong</w:t>
                        </w:r>
                        <w:r>
                          <w:rPr>
                            <w:rFonts w:ascii="Verdana" w:eastAsia="Times New Roman" w:hAnsi="Verdana"/>
                            <w:color w:val="004A91"/>
                            <w:sz w:val="18"/>
                            <w:szCs w:val="18"/>
                          </w:rPr>
                          <w:br/>
                        </w:r>
                        <w:r>
                          <w:rPr>
                            <w:rStyle w:val="Nadruk"/>
                            <w:rFonts w:ascii="Verdana" w:eastAsia="Times New Roman" w:hAnsi="Verdana"/>
                            <w:color w:val="004A91"/>
                            <w:sz w:val="18"/>
                            <w:szCs w:val="18"/>
                          </w:rPr>
                          <w:t>Managing Director Farmacie</w:t>
                        </w:r>
                        <w:r>
                          <w:rPr>
                            <w:rFonts w:ascii="Verdana" w:eastAsia="Times New Roman" w:hAnsi="Verdana"/>
                            <w:color w:val="004A91"/>
                            <w:sz w:val="18"/>
                            <w:szCs w:val="18"/>
                          </w:rPr>
                          <w:br/>
                        </w:r>
                        <w:r>
                          <w:rPr>
                            <w:rStyle w:val="Nadruk"/>
                            <w:rFonts w:ascii="Verdana" w:eastAsia="Times New Roman" w:hAnsi="Verdana"/>
                            <w:color w:val="004A91"/>
                            <w:sz w:val="18"/>
                            <w:szCs w:val="18"/>
                          </w:rPr>
                          <w:t> </w:t>
                        </w:r>
                        <w:r>
                          <w:rPr>
                            <w:rFonts w:ascii="Verdana" w:eastAsia="Times New Roman" w:hAnsi="Verdana"/>
                            <w:color w:val="004A91"/>
                            <w:sz w:val="18"/>
                            <w:szCs w:val="18"/>
                          </w:rPr>
                          <w:br/>
                        </w:r>
                        <w:proofErr w:type="spellStart"/>
                        <w:r>
                          <w:rPr>
                            <w:rFonts w:ascii="Verdana" w:eastAsia="Times New Roman" w:hAnsi="Verdana"/>
                            <w:color w:val="004A91"/>
                            <w:sz w:val="18"/>
                            <w:szCs w:val="18"/>
                          </w:rPr>
                          <w:t>Dorinda</w:t>
                        </w:r>
                        <w:proofErr w:type="spellEnd"/>
                        <w:r>
                          <w:rPr>
                            <w:rFonts w:ascii="Verdana" w:eastAsia="Times New Roman" w:hAnsi="Verdana"/>
                            <w:color w:val="004A91"/>
                            <w:sz w:val="18"/>
                            <w:szCs w:val="18"/>
                          </w:rPr>
                          <w:t xml:space="preserve"> van Oosten</w:t>
                        </w:r>
                        <w:r>
                          <w:rPr>
                            <w:rFonts w:ascii="Verdana" w:eastAsia="Times New Roman" w:hAnsi="Verdana"/>
                            <w:color w:val="004A91"/>
                            <w:sz w:val="18"/>
                            <w:szCs w:val="18"/>
                          </w:rPr>
                          <w:br/>
                        </w:r>
                        <w:r>
                          <w:rPr>
                            <w:rStyle w:val="Nadruk"/>
                            <w:rFonts w:ascii="Verdana" w:eastAsia="Times New Roman" w:hAnsi="Verdana"/>
                            <w:color w:val="004A91"/>
                            <w:sz w:val="18"/>
                            <w:szCs w:val="18"/>
                          </w:rPr>
                          <w:t>Managing Director Huisartsenzorg</w:t>
                        </w:r>
                      </w:p>
                    </w:tc>
                  </w:tr>
                  <w:tr w:rsidR="00C97915">
                    <w:trPr>
                      <w:tblCellSpacing w:w="0" w:type="dxa"/>
                      <w:jc w:val="center"/>
                    </w:trPr>
                    <w:tc>
                      <w:tcPr>
                        <w:tcW w:w="0" w:type="auto"/>
                        <w:tcMar>
                          <w:top w:w="0" w:type="dxa"/>
                          <w:left w:w="0" w:type="dxa"/>
                          <w:bottom w:w="450" w:type="dxa"/>
                          <w:right w:w="0" w:type="dxa"/>
                        </w:tcMar>
                        <w:hideMark/>
                      </w:tcPr>
                      <w:p w:rsidR="00C97915" w:rsidRDefault="00C97915">
                        <w:pPr>
                          <w:rPr>
                            <w:rFonts w:eastAsia="Times New Roman"/>
                            <w:sz w:val="20"/>
                            <w:szCs w:val="20"/>
                          </w:rPr>
                        </w:pPr>
                      </w:p>
                    </w:tc>
                  </w:tr>
                </w:tbl>
                <w:p w:rsidR="00C97915" w:rsidRDefault="00C97915">
                  <w:pPr>
                    <w:jc w:val="center"/>
                    <w:rPr>
                      <w:rFonts w:eastAsia="Times New Roman"/>
                      <w:sz w:val="20"/>
                      <w:szCs w:val="20"/>
                    </w:rPr>
                  </w:pPr>
                </w:p>
              </w:tc>
            </w:tr>
          </w:tbl>
          <w:p w:rsidR="00C97915" w:rsidRDefault="00C97915">
            <w:pPr>
              <w:rPr>
                <w:rFonts w:eastAsia="Times New Roman"/>
                <w:sz w:val="20"/>
                <w:szCs w:val="20"/>
              </w:rPr>
            </w:pPr>
          </w:p>
        </w:tc>
      </w:tr>
    </w:tbl>
    <w:p w:rsidR="00A37416" w:rsidRDefault="00A37416">
      <w:bookmarkStart w:id="4" w:name="_GoBack"/>
      <w:bookmarkEnd w:id="4"/>
    </w:p>
    <w:sectPr w:rsidR="00A3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15"/>
    <w:rsid w:val="00312A70"/>
    <w:rsid w:val="009D553D"/>
    <w:rsid w:val="00A37416"/>
    <w:rsid w:val="00C9791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7915"/>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97915"/>
    <w:rPr>
      <w:color w:val="0000FF"/>
      <w:u w:val="single"/>
    </w:rPr>
  </w:style>
  <w:style w:type="character" w:styleId="Nadruk">
    <w:name w:val="Emphasis"/>
    <w:basedOn w:val="Standaardalinea-lettertype"/>
    <w:uiPriority w:val="20"/>
    <w:qFormat/>
    <w:rsid w:val="00C97915"/>
    <w:rPr>
      <w:i/>
      <w:iCs/>
    </w:rPr>
  </w:style>
  <w:style w:type="paragraph" w:styleId="Ballontekst">
    <w:name w:val="Balloon Text"/>
    <w:basedOn w:val="Standaard"/>
    <w:link w:val="BallontekstChar"/>
    <w:uiPriority w:val="99"/>
    <w:semiHidden/>
    <w:unhideWhenUsed/>
    <w:rsid w:val="00C97915"/>
    <w:rPr>
      <w:rFonts w:ascii="Tahoma" w:hAnsi="Tahoma" w:cs="Tahoma"/>
      <w:sz w:val="16"/>
      <w:szCs w:val="16"/>
    </w:rPr>
  </w:style>
  <w:style w:type="character" w:customStyle="1" w:styleId="BallontekstChar">
    <w:name w:val="Ballontekst Char"/>
    <w:basedOn w:val="Standaardalinea-lettertype"/>
    <w:link w:val="Ballontekst"/>
    <w:uiPriority w:val="99"/>
    <w:semiHidden/>
    <w:rsid w:val="00C97915"/>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7915"/>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97915"/>
    <w:rPr>
      <w:color w:val="0000FF"/>
      <w:u w:val="single"/>
    </w:rPr>
  </w:style>
  <w:style w:type="character" w:styleId="Nadruk">
    <w:name w:val="Emphasis"/>
    <w:basedOn w:val="Standaardalinea-lettertype"/>
    <w:uiPriority w:val="20"/>
    <w:qFormat/>
    <w:rsid w:val="00C97915"/>
    <w:rPr>
      <w:i/>
      <w:iCs/>
    </w:rPr>
  </w:style>
  <w:style w:type="paragraph" w:styleId="Ballontekst">
    <w:name w:val="Balloon Text"/>
    <w:basedOn w:val="Standaard"/>
    <w:link w:val="BallontekstChar"/>
    <w:uiPriority w:val="99"/>
    <w:semiHidden/>
    <w:unhideWhenUsed/>
    <w:rsid w:val="00C97915"/>
    <w:rPr>
      <w:rFonts w:ascii="Tahoma" w:hAnsi="Tahoma" w:cs="Tahoma"/>
      <w:sz w:val="16"/>
      <w:szCs w:val="16"/>
    </w:rPr>
  </w:style>
  <w:style w:type="character" w:customStyle="1" w:styleId="BallontekstChar">
    <w:name w:val="Ballontekst Char"/>
    <w:basedOn w:val="Standaardalinea-lettertype"/>
    <w:link w:val="Ballontekst"/>
    <w:uiPriority w:val="99"/>
    <w:semiHidden/>
    <w:rsid w:val="00C97915"/>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harmapartners.m9.mailplus.nl/nct6866608/AbCju8dddzQFsYw"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harmapartners.m9.mailplus.nl/nct6866609/AbCju8dddzQFsYw"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2590</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2</cp:revision>
  <dcterms:created xsi:type="dcterms:W3CDTF">2016-07-19T10:17:00Z</dcterms:created>
  <dcterms:modified xsi:type="dcterms:W3CDTF">2016-07-19T10:17:00Z</dcterms:modified>
</cp:coreProperties>
</file>